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42AF9A">
      <w:pPr>
        <w:pStyle w:val="2"/>
        <w:widowControl/>
        <w:snapToGrid w:val="0"/>
        <w:spacing w:before="0" w:after="0" w:line="360" w:lineRule="auto"/>
        <w:jc w:val="center"/>
        <w:rPr>
          <w:rFonts w:hint="eastAsia" w:ascii="宋体" w:hAnsi="宋体"/>
          <w:color w:val="auto"/>
          <w:highlight w:val="none"/>
        </w:rPr>
      </w:pPr>
      <w:r>
        <w:rPr>
          <w:rFonts w:hint="eastAsia" w:ascii="宋体" w:hAnsi="宋体"/>
          <w:color w:val="auto"/>
          <w:highlight w:val="none"/>
        </w:rPr>
        <w:t>采购需求及技术规格要求</w:t>
      </w:r>
    </w:p>
    <w:p w14:paraId="1BEC5C2C">
      <w:pPr>
        <w:adjustRightInd w:val="0"/>
        <w:snapToGrid w:val="0"/>
        <w:spacing w:before="120" w:beforeLines="50" w:line="360" w:lineRule="auto"/>
        <w:rPr>
          <w:b/>
          <w:color w:val="auto"/>
          <w:sz w:val="24"/>
          <w:highlight w:val="none"/>
        </w:rPr>
      </w:pPr>
      <w:r>
        <w:rPr>
          <w:b/>
          <w:color w:val="auto"/>
          <w:sz w:val="24"/>
          <w:highlight w:val="none"/>
        </w:rPr>
        <w:t>1</w:t>
      </w:r>
      <w:r>
        <w:rPr>
          <w:rFonts w:hint="eastAsia"/>
          <w:b/>
          <w:color w:val="auto"/>
          <w:sz w:val="24"/>
          <w:highlight w:val="none"/>
        </w:rPr>
        <w:t>、</w:t>
      </w:r>
      <w:r>
        <w:rPr>
          <w:b/>
          <w:color w:val="auto"/>
          <w:sz w:val="24"/>
          <w:highlight w:val="none"/>
        </w:rPr>
        <w:t>货物需求一览表</w:t>
      </w:r>
    </w:p>
    <w:tbl>
      <w:tblPr>
        <w:tblStyle w:val="3"/>
        <w:tblW w:w="72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4"/>
        <w:gridCol w:w="3378"/>
        <w:gridCol w:w="1239"/>
        <w:gridCol w:w="1790"/>
      </w:tblGrid>
      <w:tr w14:paraId="01068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4" w:type="dxa"/>
            <w:noWrap w:val="0"/>
            <w:vAlign w:val="center"/>
          </w:tcPr>
          <w:p w14:paraId="11BB0D85">
            <w:pPr>
              <w:keepNext w:val="0"/>
              <w:keepLines w:val="0"/>
              <w:suppressLineNumbers w:val="0"/>
              <w:adjustRightInd w:val="0"/>
              <w:snapToGrid w:val="0"/>
              <w:spacing w:before="0" w:beforeAutospacing="0" w:after="0" w:afterAutospacing="0"/>
              <w:ind w:left="0" w:right="0"/>
              <w:jc w:val="center"/>
              <w:rPr>
                <w:rFonts w:hint="default" w:ascii="宋体" w:hAnsi="宋体" w:cs="Times New Roman"/>
                <w:color w:val="auto"/>
                <w:szCs w:val="21"/>
                <w:highlight w:val="none"/>
              </w:rPr>
            </w:pPr>
            <w:r>
              <w:rPr>
                <w:rFonts w:hint="eastAsia" w:ascii="宋体" w:hAnsi="宋体" w:cs="Times New Roman"/>
                <w:color w:val="auto"/>
                <w:szCs w:val="21"/>
                <w:highlight w:val="none"/>
              </w:rPr>
              <w:t>序号</w:t>
            </w:r>
          </w:p>
        </w:tc>
        <w:tc>
          <w:tcPr>
            <w:tcW w:w="3378" w:type="dxa"/>
            <w:noWrap w:val="0"/>
            <w:vAlign w:val="center"/>
          </w:tcPr>
          <w:p w14:paraId="18120356">
            <w:pPr>
              <w:keepNext w:val="0"/>
              <w:keepLines w:val="0"/>
              <w:suppressLineNumbers w:val="0"/>
              <w:adjustRightInd w:val="0"/>
              <w:snapToGrid w:val="0"/>
              <w:spacing w:before="0" w:beforeAutospacing="0" w:after="0" w:afterAutospacing="0"/>
              <w:ind w:left="0" w:right="0"/>
              <w:jc w:val="center"/>
              <w:rPr>
                <w:rFonts w:hint="default" w:ascii="宋体" w:hAnsi="宋体" w:cs="Times New Roman"/>
                <w:color w:val="auto"/>
                <w:szCs w:val="21"/>
                <w:highlight w:val="none"/>
              </w:rPr>
            </w:pPr>
            <w:r>
              <w:rPr>
                <w:rFonts w:hint="eastAsia" w:ascii="宋体" w:hAnsi="宋体" w:cs="Times New Roman"/>
                <w:color w:val="auto"/>
                <w:szCs w:val="21"/>
                <w:highlight w:val="none"/>
              </w:rPr>
              <w:t>货物名称</w:t>
            </w:r>
          </w:p>
        </w:tc>
        <w:tc>
          <w:tcPr>
            <w:tcW w:w="1239" w:type="dxa"/>
            <w:noWrap w:val="0"/>
            <w:vAlign w:val="center"/>
          </w:tcPr>
          <w:p w14:paraId="07FC60F8">
            <w:pPr>
              <w:keepNext w:val="0"/>
              <w:keepLines w:val="0"/>
              <w:suppressLineNumbers w:val="0"/>
              <w:adjustRightInd w:val="0"/>
              <w:snapToGrid w:val="0"/>
              <w:spacing w:before="0" w:beforeAutospacing="0" w:after="0" w:afterAutospacing="0"/>
              <w:ind w:left="0" w:right="0"/>
              <w:jc w:val="center"/>
              <w:rPr>
                <w:rFonts w:hint="default" w:ascii="宋体" w:hAnsi="宋体" w:cs="Times New Roman"/>
                <w:color w:val="auto"/>
                <w:szCs w:val="21"/>
                <w:highlight w:val="none"/>
              </w:rPr>
            </w:pPr>
            <w:r>
              <w:rPr>
                <w:rFonts w:hint="eastAsia" w:ascii="宋体" w:hAnsi="宋体" w:cs="Times New Roman"/>
                <w:color w:val="auto"/>
                <w:szCs w:val="21"/>
                <w:highlight w:val="none"/>
              </w:rPr>
              <w:t>数量</w:t>
            </w:r>
          </w:p>
        </w:tc>
        <w:tc>
          <w:tcPr>
            <w:tcW w:w="1790" w:type="dxa"/>
            <w:noWrap w:val="0"/>
            <w:vAlign w:val="center"/>
          </w:tcPr>
          <w:p w14:paraId="10257DDC">
            <w:pPr>
              <w:keepNext w:val="0"/>
              <w:keepLines w:val="0"/>
              <w:suppressLineNumbers w:val="0"/>
              <w:adjustRightInd w:val="0"/>
              <w:snapToGrid w:val="0"/>
              <w:spacing w:before="0" w:beforeAutospacing="0" w:after="0" w:afterAutospacing="0"/>
              <w:ind w:left="0" w:right="0"/>
              <w:jc w:val="center"/>
              <w:rPr>
                <w:rFonts w:hint="default" w:ascii="宋体" w:hAnsi="宋体" w:eastAsia="宋体" w:cs="Times New Roman"/>
                <w:color w:val="auto"/>
                <w:szCs w:val="21"/>
                <w:highlight w:val="none"/>
                <w:lang w:val="en-US" w:eastAsia="zh-CN"/>
              </w:rPr>
            </w:pPr>
            <w:r>
              <w:rPr>
                <w:rFonts w:hint="eastAsia" w:ascii="宋体" w:hAnsi="宋体" w:cs="Times New Roman"/>
                <w:color w:val="auto"/>
                <w:szCs w:val="21"/>
                <w:highlight w:val="none"/>
                <w:lang w:val="en-US" w:eastAsia="zh-CN"/>
              </w:rPr>
              <w:t>完成期限</w:t>
            </w:r>
          </w:p>
        </w:tc>
      </w:tr>
      <w:tr w14:paraId="1304B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804" w:type="dxa"/>
            <w:noWrap w:val="0"/>
            <w:vAlign w:val="center"/>
          </w:tcPr>
          <w:p w14:paraId="0A87B632">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1</w:t>
            </w:r>
          </w:p>
        </w:tc>
        <w:tc>
          <w:tcPr>
            <w:tcW w:w="3378" w:type="dxa"/>
            <w:noWrap w:val="0"/>
            <w:vAlign w:val="center"/>
          </w:tcPr>
          <w:p w14:paraId="707133C5">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大型超导磁体</w:t>
            </w:r>
            <w:r>
              <w:rPr>
                <w:rFonts w:hint="eastAsia" w:ascii="Times New Roman" w:hAnsi="Times New Roman" w:cs="Times New Roman"/>
                <w:color w:val="auto"/>
                <w:szCs w:val="21"/>
                <w:highlight w:val="none"/>
                <w:lang w:val="en-US" w:eastAsia="zh-CN"/>
              </w:rPr>
              <w:t>测试</w:t>
            </w:r>
            <w:r>
              <w:rPr>
                <w:rFonts w:hint="default" w:ascii="Times New Roman" w:hAnsi="Times New Roman" w:cs="Times New Roman"/>
                <w:color w:val="auto"/>
                <w:szCs w:val="21"/>
                <w:highlight w:val="none"/>
              </w:rPr>
              <w:t>装配集成及辅助外协服务</w:t>
            </w:r>
          </w:p>
        </w:tc>
        <w:tc>
          <w:tcPr>
            <w:tcW w:w="1239" w:type="dxa"/>
            <w:noWrap w:val="0"/>
            <w:vAlign w:val="center"/>
          </w:tcPr>
          <w:p w14:paraId="3C0D3963">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1</w:t>
            </w:r>
          </w:p>
        </w:tc>
        <w:tc>
          <w:tcPr>
            <w:tcW w:w="1790" w:type="dxa"/>
            <w:noWrap w:val="0"/>
            <w:vAlign w:val="center"/>
          </w:tcPr>
          <w:p w14:paraId="74E19DD5">
            <w:pPr>
              <w:keepNext w:val="0"/>
              <w:keepLines w:val="0"/>
              <w:suppressLineNumbers w:val="0"/>
              <w:adjustRightInd w:val="0"/>
              <w:snapToGrid w:val="0"/>
              <w:spacing w:before="0" w:beforeAutospacing="0" w:after="0" w:afterAutospacing="0"/>
              <w:ind w:left="0" w:right="0"/>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9</w:t>
            </w:r>
            <w:r>
              <w:rPr>
                <w:rFonts w:hint="default" w:ascii="Times New Roman" w:hAnsi="Times New Roman" w:cs="Times New Roman"/>
                <w:color w:val="auto"/>
                <w:szCs w:val="21"/>
                <w:highlight w:val="none"/>
                <w:lang w:val="en-US" w:eastAsia="zh-CN"/>
              </w:rPr>
              <w:t>0天</w:t>
            </w:r>
          </w:p>
        </w:tc>
      </w:tr>
    </w:tbl>
    <w:p w14:paraId="62ABA1B8">
      <w:pPr>
        <w:adjustRightInd w:val="0"/>
        <w:snapToGrid w:val="0"/>
        <w:spacing w:before="120" w:beforeLines="50" w:line="360" w:lineRule="auto"/>
        <w:rPr>
          <w:rFonts w:hint="eastAsia"/>
          <w:b/>
          <w:color w:val="auto"/>
          <w:sz w:val="24"/>
          <w:highlight w:val="none"/>
        </w:rPr>
      </w:pPr>
      <w:bookmarkStart w:id="0" w:name="_Toc509153917"/>
      <w:bookmarkStart w:id="1" w:name="_Toc12010815"/>
      <w:bookmarkStart w:id="2" w:name="_Toc532807472"/>
      <w:bookmarkStart w:id="3" w:name="_Toc30409514"/>
      <w:bookmarkStart w:id="4" w:name="_Toc12010788"/>
      <w:bookmarkStart w:id="5" w:name="_Toc257021215"/>
      <w:r>
        <w:rPr>
          <w:b/>
          <w:color w:val="auto"/>
          <w:sz w:val="24"/>
          <w:highlight w:val="none"/>
        </w:rPr>
        <w:t>2</w:t>
      </w:r>
      <w:r>
        <w:rPr>
          <w:rFonts w:hint="eastAsia"/>
          <w:b/>
          <w:color w:val="auto"/>
          <w:sz w:val="24"/>
          <w:highlight w:val="none"/>
        </w:rPr>
        <w:t>、</w:t>
      </w:r>
      <w:r>
        <w:rPr>
          <w:b/>
          <w:color w:val="auto"/>
          <w:sz w:val="24"/>
          <w:highlight w:val="none"/>
        </w:rPr>
        <w:t>工程技术要求</w:t>
      </w:r>
      <w:bookmarkEnd w:id="0"/>
      <w:bookmarkEnd w:id="1"/>
      <w:bookmarkEnd w:id="2"/>
      <w:bookmarkEnd w:id="3"/>
      <w:bookmarkEnd w:id="4"/>
      <w:bookmarkEnd w:id="5"/>
    </w:p>
    <w:p w14:paraId="05EDDD42">
      <w:pPr>
        <w:adjustRightInd w:val="0"/>
        <w:snapToGrid w:val="0"/>
        <w:spacing w:before="120" w:beforeLines="50" w:line="360" w:lineRule="auto"/>
        <w:rPr>
          <w:b/>
          <w:color w:val="auto"/>
          <w:sz w:val="24"/>
          <w:highlight w:val="none"/>
        </w:rPr>
      </w:pPr>
      <w:r>
        <w:rPr>
          <w:b/>
          <w:color w:val="auto"/>
          <w:sz w:val="24"/>
          <w:highlight w:val="none"/>
        </w:rPr>
        <w:t>2.</w:t>
      </w:r>
      <w:r>
        <w:rPr>
          <w:rFonts w:hint="eastAsia"/>
          <w:b/>
          <w:color w:val="auto"/>
          <w:sz w:val="24"/>
          <w:highlight w:val="none"/>
        </w:rPr>
        <w:t>1、</w:t>
      </w:r>
      <w:r>
        <w:rPr>
          <w:b/>
          <w:color w:val="auto"/>
          <w:sz w:val="24"/>
          <w:highlight w:val="none"/>
        </w:rPr>
        <w:t>主要用途及功能</w:t>
      </w:r>
    </w:p>
    <w:p w14:paraId="53AF6348">
      <w:pPr>
        <w:adjustRightInd w:val="0"/>
        <w:snapToGrid w:val="0"/>
        <w:spacing w:before="120" w:beforeLines="50" w:line="360" w:lineRule="auto"/>
        <w:rPr>
          <w:rFonts w:hint="eastAsia" w:ascii="Times New Roman" w:hAnsi="Times New Roman" w:eastAsia="宋体" w:cs="Times New Roman"/>
          <w:b/>
          <w:color w:val="auto"/>
          <w:sz w:val="24"/>
          <w:highlight w:val="none"/>
          <w:lang w:val="en-US" w:eastAsia="zh-CN"/>
        </w:rPr>
      </w:pPr>
      <w:bookmarkStart w:id="6" w:name="_GoBack"/>
      <w:bookmarkEnd w:id="6"/>
      <w:r>
        <w:rPr>
          <w:rFonts w:hint="eastAsia" w:ascii="Times New Roman" w:hAnsi="Times New Roman" w:eastAsia="宋体" w:cs="Times New Roman"/>
          <w:b/>
          <w:color w:val="auto"/>
          <w:sz w:val="24"/>
          <w:highlight w:val="none"/>
          <w:lang w:val="en-US" w:eastAsia="zh-CN"/>
        </w:rPr>
        <w:t>2.2、大型超导磁体测试装配集成及辅助外协服务范围</w:t>
      </w:r>
    </w:p>
    <w:p w14:paraId="673603CD">
      <w:pPr>
        <w:keepNext w:val="0"/>
        <w:keepLines w:val="0"/>
        <w:widowControl w:val="0"/>
        <w:suppressLineNumbers w:val="0"/>
        <w:spacing w:before="0" w:beforeAutospacing="0" w:after="0" w:afterAutospacing="0" w:line="360" w:lineRule="auto"/>
        <w:ind w:left="0" w:right="0" w:firstLine="420" w:firstLineChars="200"/>
        <w:jc w:val="both"/>
        <w:rPr>
          <w:color w:val="auto"/>
          <w:szCs w:val="21"/>
          <w:highlight w:val="none"/>
          <w:lang w:val="en-US"/>
        </w:rPr>
      </w:pPr>
      <w:r>
        <w:rPr>
          <w:rFonts w:hint="default" w:ascii="Times New Roman" w:hAnsi="Times New Roman" w:eastAsia="宋体" w:cs="Times New Roman"/>
          <w:color w:val="auto"/>
          <w:kern w:val="2"/>
          <w:sz w:val="21"/>
          <w:szCs w:val="21"/>
          <w:highlight w:val="none"/>
          <w:lang w:val="en-US" w:eastAsia="zh-CN" w:bidi="ar"/>
        </w:rPr>
        <w:t>大型超导磁体测试</w:t>
      </w:r>
      <w:r>
        <w:rPr>
          <w:rFonts w:hint="eastAsia" w:ascii="Times New Roman" w:hAnsi="Times New Roman" w:eastAsia="宋体" w:cs="Times New Roman"/>
          <w:color w:val="auto"/>
          <w:kern w:val="2"/>
          <w:sz w:val="21"/>
          <w:szCs w:val="21"/>
          <w:highlight w:val="none"/>
          <w:lang w:val="en-US" w:eastAsia="zh-CN" w:bidi="ar"/>
        </w:rPr>
        <w:t>装配集成及辅助</w:t>
      </w:r>
      <w:r>
        <w:rPr>
          <w:rFonts w:hint="default" w:ascii="Times New Roman" w:hAnsi="Times New Roman" w:eastAsia="宋体" w:cs="Times New Roman"/>
          <w:color w:val="auto"/>
          <w:kern w:val="2"/>
          <w:sz w:val="21"/>
          <w:szCs w:val="21"/>
          <w:highlight w:val="none"/>
          <w:lang w:val="en-US" w:eastAsia="zh-CN" w:bidi="ar"/>
        </w:rPr>
        <w:t>外协服务包含但不限于以下内容：</w:t>
      </w:r>
    </w:p>
    <w:p w14:paraId="64F5284B">
      <w:pPr>
        <w:adjustRightInd w:val="0"/>
        <w:snapToGrid w:val="0"/>
        <w:spacing w:before="120" w:beforeLines="50" w:line="360" w:lineRule="auto"/>
        <w:rPr>
          <w:rFonts w:hint="eastAsia" w:ascii="Times New Roman" w:hAnsi="Times New Roman" w:cs="Times New Roman"/>
          <w:b/>
          <w:bCs/>
          <w:color w:val="auto"/>
          <w:sz w:val="21"/>
          <w:szCs w:val="21"/>
          <w:highlight w:val="none"/>
          <w:lang w:val="en-US" w:eastAsia="zh-CN"/>
        </w:rPr>
      </w:pPr>
      <w:r>
        <w:rPr>
          <w:rFonts w:hint="eastAsia" w:ascii="Times New Roman" w:hAnsi="Times New Roman" w:cs="Times New Roman"/>
          <w:b/>
          <w:bCs/>
          <w:color w:val="auto"/>
          <w:sz w:val="21"/>
          <w:szCs w:val="21"/>
          <w:highlight w:val="none"/>
          <w:lang w:val="en-US" w:eastAsia="zh-CN"/>
        </w:rPr>
        <w:t>2.2</w:t>
      </w:r>
      <w:r>
        <w:rPr>
          <w:rFonts w:hint="default" w:ascii="Times New Roman" w:hAnsi="Times New Roman" w:cs="Times New Roman"/>
          <w:b/>
          <w:bCs/>
          <w:color w:val="auto"/>
          <w:sz w:val="21"/>
          <w:szCs w:val="21"/>
          <w:highlight w:val="none"/>
          <w:lang w:val="en-US" w:eastAsia="zh-CN"/>
        </w:rPr>
        <w:t xml:space="preserve">.1 </w:t>
      </w:r>
      <w:r>
        <w:rPr>
          <w:rFonts w:hint="eastAsia" w:ascii="Times New Roman" w:hAnsi="Times New Roman" w:cs="Times New Roman"/>
          <w:b/>
          <w:bCs/>
          <w:color w:val="auto"/>
          <w:sz w:val="21"/>
          <w:szCs w:val="21"/>
          <w:highlight w:val="none"/>
          <w:lang w:val="en-US" w:eastAsia="zh-CN"/>
        </w:rPr>
        <w:t>加强结构件设计、制造及安装</w:t>
      </w:r>
    </w:p>
    <w:p w14:paraId="05CA98DC">
      <w:pPr>
        <w:numPr>
          <w:ilvl w:val="0"/>
          <w:numId w:val="1"/>
        </w:numPr>
        <w:adjustRightInd w:val="0"/>
        <w:snapToGrid w:val="0"/>
        <w:spacing w:line="360" w:lineRule="auto"/>
        <w:ind w:left="845" w:leftChars="200" w:hanging="425" w:firstLineChars="0"/>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完成加强结构件设计，并根据实际工况条件，进行结构、热及电磁耦合分析</w:t>
      </w:r>
      <w:r>
        <w:rPr>
          <w:rFonts w:hint="eastAsia" w:ascii="Times New Roman" w:hAnsi="Times New Roman" w:eastAsia="宋体" w:cs="Times New Roman"/>
          <w:color w:val="auto"/>
          <w:szCs w:val="21"/>
          <w:highlight w:val="none"/>
          <w:lang w:val="en-US" w:eastAsia="zh-CN"/>
        </w:rPr>
        <w:t>。</w:t>
      </w:r>
    </w:p>
    <w:p w14:paraId="46F425E6">
      <w:pPr>
        <w:numPr>
          <w:ilvl w:val="0"/>
          <w:numId w:val="1"/>
        </w:numPr>
        <w:adjustRightInd w:val="0"/>
        <w:snapToGrid w:val="0"/>
        <w:spacing w:line="360" w:lineRule="auto"/>
        <w:ind w:left="845" w:leftChars="200" w:hanging="425"/>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完成加强结构件制造并进行相应集成装配。</w:t>
      </w:r>
    </w:p>
    <w:p w14:paraId="00079843">
      <w:pPr>
        <w:adjustRightInd w:val="0"/>
        <w:snapToGrid w:val="0"/>
        <w:spacing w:before="120" w:beforeLines="50" w:line="360" w:lineRule="auto"/>
        <w:rPr>
          <w:rFonts w:hint="default" w:ascii="Times New Roman" w:hAnsi="Times New Roman" w:cs="Times New Roman"/>
          <w:b/>
          <w:bCs/>
          <w:color w:val="auto"/>
          <w:sz w:val="21"/>
          <w:szCs w:val="21"/>
          <w:highlight w:val="none"/>
          <w:lang w:val="en-US" w:eastAsia="zh-CN"/>
        </w:rPr>
      </w:pPr>
      <w:r>
        <w:rPr>
          <w:rFonts w:hint="eastAsia" w:ascii="Times New Roman" w:hAnsi="Times New Roman" w:eastAsia="宋体" w:cs="Times New Roman"/>
          <w:b/>
          <w:bCs/>
          <w:color w:val="auto"/>
          <w:sz w:val="21"/>
          <w:szCs w:val="21"/>
          <w:highlight w:val="none"/>
          <w:lang w:val="en-US" w:eastAsia="zh-CN"/>
        </w:rPr>
        <w:t>2.2</w:t>
      </w:r>
      <w:r>
        <w:rPr>
          <w:rFonts w:hint="default" w:ascii="Times New Roman" w:hAnsi="Times New Roman" w:eastAsia="宋体" w:cs="Times New Roman"/>
          <w:b/>
          <w:bCs/>
          <w:color w:val="auto"/>
          <w:sz w:val="21"/>
          <w:szCs w:val="21"/>
          <w:highlight w:val="none"/>
          <w:lang w:val="en-US" w:eastAsia="zh-CN"/>
        </w:rPr>
        <w:t xml:space="preserve">.2 </w:t>
      </w:r>
      <w:r>
        <w:rPr>
          <w:rFonts w:hint="default" w:ascii="Times New Roman" w:hAnsi="Times New Roman" w:cs="Times New Roman"/>
          <w:b/>
          <w:bCs/>
          <w:color w:val="auto"/>
          <w:sz w:val="21"/>
          <w:szCs w:val="21"/>
          <w:highlight w:val="none"/>
          <w:lang w:val="en-US" w:eastAsia="zh-CN"/>
        </w:rPr>
        <w:t>磁体转运及接收检查</w:t>
      </w:r>
    </w:p>
    <w:p w14:paraId="3749C473">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w:t>
      </w:r>
      <w:r>
        <w:rPr>
          <w:rFonts w:hint="eastAsia" w:ascii="Times New Roman" w:hAnsi="Times New Roman" w:cs="Times New Roman"/>
          <w:color w:val="auto"/>
          <w:sz w:val="21"/>
          <w:szCs w:val="21"/>
          <w:highlight w:val="none"/>
          <w:lang w:val="en-US" w:eastAsia="zh-CN"/>
        </w:rPr>
        <w:t xml:space="preserve"> </w:t>
      </w:r>
      <w:r>
        <w:rPr>
          <w:rFonts w:hint="default" w:ascii="Times New Roman" w:hAnsi="Times New Roman" w:cs="Times New Roman"/>
          <w:color w:val="auto"/>
          <w:sz w:val="21"/>
          <w:szCs w:val="21"/>
          <w:highlight w:val="none"/>
          <w:lang w:val="en-US" w:eastAsia="zh-CN"/>
        </w:rPr>
        <w:t>磁体转运至8#厂房内支撑位置，起吊至指定位置。</w:t>
      </w:r>
    </w:p>
    <w:p w14:paraId="75BED52A">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2)</w:t>
      </w:r>
      <w:r>
        <w:rPr>
          <w:rFonts w:hint="eastAsia" w:ascii="Times New Roman" w:hAnsi="Times New Roman" w:cs="Times New Roman"/>
          <w:color w:val="auto"/>
          <w:sz w:val="21"/>
          <w:szCs w:val="21"/>
          <w:highlight w:val="none"/>
          <w:lang w:val="en-US" w:eastAsia="zh-CN"/>
        </w:rPr>
        <w:t xml:space="preserve"> </w:t>
      </w:r>
      <w:r>
        <w:rPr>
          <w:rFonts w:hint="default" w:ascii="Times New Roman" w:hAnsi="Times New Roman" w:cs="Times New Roman"/>
          <w:color w:val="auto"/>
          <w:sz w:val="21"/>
          <w:szCs w:val="21"/>
          <w:highlight w:val="none"/>
          <w:lang w:val="en-US" w:eastAsia="zh-CN"/>
        </w:rPr>
        <w:t>进行接收检查，主要包括外观检查，紧固件、高低电压引线完整性检查以及进行高电压绝缘测试。</w:t>
      </w:r>
    </w:p>
    <w:p w14:paraId="4BD9545F">
      <w:pPr>
        <w:adjustRightInd w:val="0"/>
        <w:snapToGrid w:val="0"/>
        <w:spacing w:before="120" w:beforeLines="50" w:line="360" w:lineRule="auto"/>
        <w:rPr>
          <w:rFonts w:hint="default" w:ascii="Times New Roman" w:hAnsi="Times New Roman" w:eastAsia="宋体" w:cs="Times New Roman"/>
          <w:b/>
          <w:bCs/>
          <w:color w:val="auto"/>
          <w:sz w:val="21"/>
          <w:szCs w:val="21"/>
          <w:highlight w:val="none"/>
          <w:lang w:val="en-US" w:eastAsia="zh-CN"/>
        </w:rPr>
      </w:pPr>
      <w:r>
        <w:rPr>
          <w:rFonts w:hint="eastAsia" w:ascii="Times New Roman" w:hAnsi="Times New Roman" w:eastAsia="宋体" w:cs="Times New Roman"/>
          <w:b/>
          <w:bCs/>
          <w:color w:val="auto"/>
          <w:sz w:val="21"/>
          <w:szCs w:val="21"/>
          <w:highlight w:val="none"/>
          <w:lang w:val="en-US" w:eastAsia="zh-CN"/>
        </w:rPr>
        <w:t>2.2</w:t>
      </w:r>
      <w:r>
        <w:rPr>
          <w:rFonts w:hint="default" w:ascii="Times New Roman" w:hAnsi="Times New Roman" w:eastAsia="宋体" w:cs="Times New Roman"/>
          <w:b/>
          <w:bCs/>
          <w:color w:val="auto"/>
          <w:sz w:val="21"/>
          <w:szCs w:val="21"/>
          <w:highlight w:val="none"/>
          <w:lang w:val="en-US" w:eastAsia="zh-CN"/>
        </w:rPr>
        <w:t>.</w:t>
      </w:r>
      <w:r>
        <w:rPr>
          <w:rFonts w:hint="eastAsia" w:ascii="Times New Roman" w:hAnsi="Times New Roman" w:eastAsia="宋体" w:cs="Times New Roman"/>
          <w:b/>
          <w:bCs/>
          <w:color w:val="auto"/>
          <w:sz w:val="21"/>
          <w:szCs w:val="21"/>
          <w:highlight w:val="none"/>
          <w:lang w:val="en-US" w:eastAsia="zh-CN"/>
        </w:rPr>
        <w:t>3</w:t>
      </w:r>
      <w:r>
        <w:rPr>
          <w:rFonts w:hint="default" w:ascii="Times New Roman" w:hAnsi="Times New Roman" w:eastAsia="宋体" w:cs="Times New Roman"/>
          <w:b/>
          <w:bCs/>
          <w:color w:val="auto"/>
          <w:sz w:val="21"/>
          <w:szCs w:val="21"/>
          <w:highlight w:val="none"/>
          <w:lang w:val="en-US" w:eastAsia="zh-CN"/>
        </w:rPr>
        <w:t xml:space="preserve">  磁体杜瓦外集成</w:t>
      </w:r>
    </w:p>
    <w:p w14:paraId="7AFAF3AA">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w:t>
      </w:r>
      <w:r>
        <w:rPr>
          <w:rFonts w:hint="eastAsia" w:ascii="Times New Roman" w:hAnsi="Times New Roman" w:cs="Times New Roman"/>
          <w:color w:val="auto"/>
          <w:sz w:val="21"/>
          <w:szCs w:val="21"/>
          <w:highlight w:val="none"/>
          <w:lang w:val="en-US" w:eastAsia="zh-CN"/>
        </w:rPr>
        <w:t xml:space="preserve"> </w:t>
      </w:r>
      <w:r>
        <w:rPr>
          <w:rFonts w:hint="default" w:ascii="Times New Roman" w:hAnsi="Times New Roman" w:cs="Times New Roman"/>
          <w:color w:val="auto"/>
          <w:sz w:val="21"/>
          <w:szCs w:val="21"/>
          <w:highlight w:val="none"/>
          <w:lang w:val="en-US" w:eastAsia="zh-CN"/>
        </w:rPr>
        <w:t>磁体支撑杜瓦外预装配，主要包括上段预装配、悬挂G10斜面适配定位、地面平整、磁体支撑上端地面定位。</w:t>
      </w:r>
    </w:p>
    <w:p w14:paraId="048F37EB">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w:t>
      </w:r>
      <w:r>
        <w:rPr>
          <w:rFonts w:hint="eastAsia"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lang w:val="en-US" w:eastAsia="zh-CN"/>
        </w:rPr>
        <w:t>磁体支撑杜瓦内装配，主要包括两层磁体支撑立柱进入杜瓦、调平、热截止低温管路焊接及检漏、磁体支撑杜瓦内测量定位。</w:t>
      </w:r>
    </w:p>
    <w:p w14:paraId="23C738EF">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w:t>
      </w:r>
      <w:r>
        <w:rPr>
          <w:rFonts w:hint="eastAsia"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lang w:val="en-US" w:eastAsia="zh-CN"/>
        </w:rPr>
        <w:t>磁体支撑杜瓦外安装，包括夹具安装、内部加强筋安装。</w:t>
      </w:r>
    </w:p>
    <w:p w14:paraId="4FBAFA29">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4)</w:t>
      </w:r>
      <w:r>
        <w:rPr>
          <w:rFonts w:hint="eastAsia"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lang w:val="en-US" w:eastAsia="zh-CN"/>
        </w:rPr>
        <w:t>CERNOX 低温温度计安装，</w:t>
      </w:r>
      <w:r>
        <w:rPr>
          <w:rFonts w:hint="eastAsia" w:ascii="Times New Roman" w:hAnsi="Times New Roman" w:eastAsia="宋体" w:cs="Times New Roman"/>
          <w:color w:val="auto"/>
          <w:sz w:val="21"/>
          <w:szCs w:val="21"/>
          <w:highlight w:val="none"/>
          <w:lang w:val="en-US" w:eastAsia="zh-CN"/>
        </w:rPr>
        <w:t>不低于</w:t>
      </w:r>
      <w:r>
        <w:rPr>
          <w:rFonts w:hint="default" w:ascii="Times New Roman" w:hAnsi="Times New Roman" w:eastAsia="宋体" w:cs="Times New Roman"/>
          <w:color w:val="auto"/>
          <w:sz w:val="21"/>
          <w:szCs w:val="21"/>
          <w:highlight w:val="none"/>
          <w:lang w:val="en-US" w:eastAsia="zh-CN"/>
        </w:rPr>
        <w:t>91个。</w:t>
      </w:r>
    </w:p>
    <w:p w14:paraId="18713D35">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5)</w:t>
      </w:r>
      <w:r>
        <w:rPr>
          <w:rFonts w:hint="eastAsia"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lang w:val="en-US" w:eastAsia="zh-CN"/>
        </w:rPr>
        <w:t>测量应变花安装，</w:t>
      </w:r>
      <w:r>
        <w:rPr>
          <w:rFonts w:hint="eastAsia" w:ascii="Times New Roman" w:hAnsi="Times New Roman" w:eastAsia="宋体" w:cs="Times New Roman"/>
          <w:color w:val="auto"/>
          <w:sz w:val="21"/>
          <w:szCs w:val="21"/>
          <w:highlight w:val="none"/>
          <w:lang w:val="en-US" w:eastAsia="zh-CN"/>
        </w:rPr>
        <w:t>不低于</w:t>
      </w:r>
      <w:r>
        <w:rPr>
          <w:rFonts w:hint="default" w:ascii="Times New Roman" w:hAnsi="Times New Roman" w:eastAsia="宋体" w:cs="Times New Roman"/>
          <w:color w:val="auto"/>
          <w:sz w:val="21"/>
          <w:szCs w:val="21"/>
          <w:highlight w:val="none"/>
          <w:lang w:val="en-US" w:eastAsia="zh-CN"/>
        </w:rPr>
        <w:t>16对。</w:t>
      </w:r>
    </w:p>
    <w:p w14:paraId="14AE8147">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6)</w:t>
      </w:r>
      <w:r>
        <w:rPr>
          <w:rFonts w:hint="eastAsia"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lang w:val="en-US" w:eastAsia="zh-CN"/>
        </w:rPr>
        <w:t>低温流量计焊接安装，不低于6个</w:t>
      </w:r>
      <w:r>
        <w:rPr>
          <w:rFonts w:hint="eastAsia" w:ascii="Times New Roman" w:hAnsi="Times New Roman" w:eastAsia="宋体" w:cs="Times New Roman"/>
          <w:color w:val="auto"/>
          <w:sz w:val="21"/>
          <w:szCs w:val="21"/>
          <w:highlight w:val="none"/>
          <w:lang w:val="en-US" w:eastAsia="zh-CN"/>
        </w:rPr>
        <w:t>。</w:t>
      </w:r>
    </w:p>
    <w:p w14:paraId="11B1083C">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7)</w:t>
      </w:r>
      <w:r>
        <w:rPr>
          <w:rFonts w:hint="eastAsia"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lang w:val="en-US" w:eastAsia="zh-CN"/>
        </w:rPr>
        <w:t>霍尔安装，分别在磁体内表面中平面位置，以及弧段</w:t>
      </w:r>
      <w:r>
        <w:rPr>
          <w:rFonts w:hint="eastAsia" w:ascii="Times New Roman" w:hAnsi="Times New Roman" w:eastAsia="宋体"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直段交接面。</w:t>
      </w:r>
    </w:p>
    <w:p w14:paraId="14230193">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8)</w:t>
      </w:r>
      <w:r>
        <w:rPr>
          <w:rFonts w:hint="eastAsia"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lang w:val="en-US" w:eastAsia="zh-CN"/>
        </w:rPr>
        <w:t>失超探测与保护高压线缆，敷设</w:t>
      </w:r>
      <w:r>
        <w:rPr>
          <w:rFonts w:hint="eastAsia" w:ascii="Times New Roman" w:hAnsi="Times New Roman" w:eastAsia="宋体" w:cs="Times New Roman"/>
          <w:color w:val="auto"/>
          <w:sz w:val="21"/>
          <w:szCs w:val="21"/>
          <w:highlight w:val="none"/>
          <w:lang w:val="en-US" w:eastAsia="zh-CN"/>
        </w:rPr>
        <w:t>不少于20</w:t>
      </w:r>
      <w:r>
        <w:rPr>
          <w:rFonts w:hint="default" w:ascii="Times New Roman" w:hAnsi="Times New Roman" w:eastAsia="宋体" w:cs="Times New Roman"/>
          <w:color w:val="auto"/>
          <w:sz w:val="21"/>
          <w:szCs w:val="21"/>
          <w:highlight w:val="none"/>
          <w:lang w:val="en-US" w:eastAsia="zh-CN"/>
        </w:rPr>
        <w:t>根测试杜瓦至机房电缆（耐压等级不低于30kV），单根长度</w:t>
      </w:r>
      <w:r>
        <w:rPr>
          <w:rFonts w:hint="eastAsia" w:ascii="Times New Roman" w:hAnsi="Times New Roman" w:eastAsia="宋体" w:cs="Times New Roman"/>
          <w:color w:val="auto"/>
          <w:sz w:val="21"/>
          <w:szCs w:val="21"/>
          <w:highlight w:val="none"/>
          <w:lang w:val="en-US" w:eastAsia="zh-CN"/>
        </w:rPr>
        <w:t>不低于110</w:t>
      </w:r>
      <w:r>
        <w:rPr>
          <w:rFonts w:hint="default" w:ascii="Times New Roman" w:hAnsi="Times New Roman" w:eastAsia="宋体" w:cs="Times New Roman"/>
          <w:color w:val="auto"/>
          <w:sz w:val="21"/>
          <w:szCs w:val="21"/>
          <w:highlight w:val="none"/>
          <w:lang w:val="en-US" w:eastAsia="zh-CN"/>
        </w:rPr>
        <w:t>m；桥架内部绝缘保护垫满足绝缘耐压30kV。</w:t>
      </w:r>
    </w:p>
    <w:p w14:paraId="7836C955">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9)</w:t>
      </w:r>
      <w:r>
        <w:rPr>
          <w:rFonts w:hint="eastAsia"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lang w:val="en-US" w:eastAsia="zh-CN"/>
        </w:rPr>
        <w:t>失超探测与保护设备调试，进行各种处理设备之间的弱电信号的传输放线及标签标识，完成各类设备连接接头的焊接及制作以及完成测试前设备调试工作。</w:t>
      </w:r>
    </w:p>
    <w:p w14:paraId="3E3BA372">
      <w:pPr>
        <w:adjustRightInd w:val="0"/>
        <w:snapToGrid w:val="0"/>
        <w:spacing w:before="120" w:beforeLines="50" w:line="360" w:lineRule="auto"/>
        <w:rPr>
          <w:rFonts w:hint="default" w:ascii="Times New Roman" w:hAnsi="Times New Roman" w:eastAsia="宋体" w:cs="Times New Roman"/>
          <w:b/>
          <w:bCs/>
          <w:color w:val="auto"/>
          <w:sz w:val="21"/>
          <w:szCs w:val="21"/>
          <w:highlight w:val="none"/>
          <w:lang w:val="en-US" w:eastAsia="zh-CN"/>
        </w:rPr>
      </w:pPr>
      <w:r>
        <w:rPr>
          <w:rFonts w:hint="eastAsia" w:ascii="Times New Roman" w:hAnsi="Times New Roman" w:eastAsia="宋体" w:cs="Times New Roman"/>
          <w:b/>
          <w:bCs/>
          <w:color w:val="auto"/>
          <w:sz w:val="21"/>
          <w:szCs w:val="21"/>
          <w:highlight w:val="none"/>
          <w:lang w:val="en-US" w:eastAsia="zh-CN"/>
        </w:rPr>
        <w:t>2.2</w:t>
      </w:r>
      <w:r>
        <w:rPr>
          <w:rFonts w:hint="default" w:ascii="Times New Roman" w:hAnsi="Times New Roman" w:eastAsia="宋体" w:cs="Times New Roman"/>
          <w:b/>
          <w:bCs/>
          <w:color w:val="auto"/>
          <w:sz w:val="21"/>
          <w:szCs w:val="21"/>
          <w:highlight w:val="none"/>
          <w:lang w:val="en-US" w:eastAsia="zh-CN"/>
        </w:rPr>
        <w:t>.</w:t>
      </w:r>
      <w:r>
        <w:rPr>
          <w:rFonts w:hint="eastAsia" w:ascii="Times New Roman" w:hAnsi="Times New Roman" w:eastAsia="宋体" w:cs="Times New Roman"/>
          <w:b/>
          <w:bCs/>
          <w:color w:val="auto"/>
          <w:sz w:val="21"/>
          <w:szCs w:val="21"/>
          <w:highlight w:val="none"/>
          <w:lang w:val="en-US" w:eastAsia="zh-CN"/>
        </w:rPr>
        <w:t>4</w:t>
      </w:r>
      <w:r>
        <w:rPr>
          <w:rFonts w:hint="default" w:ascii="Times New Roman" w:hAnsi="Times New Roman" w:eastAsia="宋体" w:cs="Times New Roman"/>
          <w:b/>
          <w:bCs/>
          <w:color w:val="auto"/>
          <w:sz w:val="21"/>
          <w:szCs w:val="21"/>
          <w:highlight w:val="none"/>
          <w:lang w:val="en-US" w:eastAsia="zh-CN"/>
        </w:rPr>
        <w:t xml:space="preserve">  磁体杜瓦内集成</w:t>
      </w:r>
    </w:p>
    <w:p w14:paraId="3BF5395E">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w:t>
      </w:r>
      <w:r>
        <w:rPr>
          <w:rFonts w:hint="eastAsia"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lang w:val="en-US" w:eastAsia="zh-CN"/>
        </w:rPr>
        <w:t>调整支撑位置，确保磁体</w:t>
      </w:r>
      <w:r>
        <w:rPr>
          <w:rFonts w:hint="eastAsia" w:ascii="Times New Roman" w:hAnsi="Times New Roman" w:eastAsia="宋体" w:cs="Times New Roman"/>
          <w:color w:val="auto"/>
          <w:sz w:val="21"/>
          <w:szCs w:val="21"/>
          <w:highlight w:val="none"/>
          <w:lang w:val="en-US" w:eastAsia="zh-CN"/>
        </w:rPr>
        <w:t>水平放置。</w:t>
      </w:r>
    </w:p>
    <w:p w14:paraId="28F8F9FA">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w:t>
      </w:r>
      <w:r>
        <w:rPr>
          <w:rFonts w:hint="eastAsia"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lang w:val="en-US" w:eastAsia="zh-CN"/>
        </w:rPr>
        <w:t>磁体低温进出液低温管道焊接、测量元器件低压测量引线连接、高压测量引线连接、馈线与磁体连接超导接头制作。</w:t>
      </w:r>
    </w:p>
    <w:p w14:paraId="26D861AF">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w:t>
      </w:r>
      <w:r>
        <w:rPr>
          <w:rFonts w:hint="eastAsia"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lang w:val="en-US" w:eastAsia="zh-CN"/>
        </w:rPr>
        <w:t>帕森放电，杜瓦内部进行相机支撑安装及电连接，连接至真空窗口。</w:t>
      </w:r>
    </w:p>
    <w:p w14:paraId="4AAE6C49">
      <w:pPr>
        <w:adjustRightInd w:val="0"/>
        <w:snapToGrid w:val="0"/>
        <w:spacing w:before="120" w:beforeLines="50" w:line="360" w:lineRule="auto"/>
        <w:rPr>
          <w:rFonts w:hint="default" w:ascii="Times New Roman" w:hAnsi="Times New Roman" w:eastAsia="宋体" w:cs="Times New Roman"/>
          <w:b/>
          <w:bCs/>
          <w:color w:val="auto"/>
          <w:sz w:val="21"/>
          <w:szCs w:val="21"/>
          <w:highlight w:val="none"/>
          <w:lang w:val="en-US" w:eastAsia="zh-CN"/>
        </w:rPr>
      </w:pPr>
      <w:r>
        <w:rPr>
          <w:rFonts w:hint="eastAsia" w:ascii="Times New Roman" w:hAnsi="Times New Roman" w:eastAsia="宋体" w:cs="Times New Roman"/>
          <w:b/>
          <w:bCs/>
          <w:color w:val="auto"/>
          <w:sz w:val="21"/>
          <w:szCs w:val="21"/>
          <w:highlight w:val="none"/>
          <w:lang w:val="en-US" w:eastAsia="zh-CN"/>
        </w:rPr>
        <w:t>2.2</w:t>
      </w:r>
      <w:r>
        <w:rPr>
          <w:rFonts w:hint="default" w:ascii="Times New Roman" w:hAnsi="Times New Roman" w:eastAsia="宋体" w:cs="Times New Roman"/>
          <w:b/>
          <w:bCs/>
          <w:color w:val="auto"/>
          <w:sz w:val="21"/>
          <w:szCs w:val="21"/>
          <w:highlight w:val="none"/>
          <w:lang w:val="en-US" w:eastAsia="zh-CN"/>
        </w:rPr>
        <w:t>.5 采集诊断系统调试</w:t>
      </w:r>
    </w:p>
    <w:p w14:paraId="41BE759C">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w:t>
      </w:r>
      <w:r>
        <w:rPr>
          <w:rFonts w:hint="eastAsia"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lang w:val="en-US" w:eastAsia="zh-CN"/>
        </w:rPr>
        <w:t>测量元器件进行分类，形成相应关系对照。</w:t>
      </w:r>
    </w:p>
    <w:p w14:paraId="0183789E">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w:t>
      </w:r>
      <w:r>
        <w:rPr>
          <w:rFonts w:hint="eastAsia"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lang w:val="en-US" w:eastAsia="zh-CN"/>
        </w:rPr>
        <w:t>完成失超探测、真空、低温、电源等系统测量连接，并对各系统连接支路进行信号测试，如电压、电阻等信号。</w:t>
      </w:r>
    </w:p>
    <w:p w14:paraId="3FA705F0">
      <w:pPr>
        <w:adjustRightInd w:val="0"/>
        <w:snapToGrid w:val="0"/>
        <w:spacing w:before="120" w:beforeLines="50" w:line="360" w:lineRule="auto"/>
        <w:rPr>
          <w:rFonts w:hint="default" w:ascii="Times New Roman" w:hAnsi="Times New Roman" w:eastAsia="宋体" w:cs="Times New Roman"/>
          <w:b/>
          <w:bCs/>
          <w:color w:val="auto"/>
          <w:sz w:val="21"/>
          <w:szCs w:val="21"/>
          <w:highlight w:val="none"/>
          <w:lang w:val="en-US" w:eastAsia="zh-CN"/>
        </w:rPr>
      </w:pPr>
      <w:r>
        <w:rPr>
          <w:rFonts w:hint="eastAsia" w:ascii="Times New Roman" w:hAnsi="Times New Roman" w:eastAsia="宋体" w:cs="Times New Roman"/>
          <w:b/>
          <w:bCs/>
          <w:color w:val="auto"/>
          <w:sz w:val="21"/>
          <w:szCs w:val="21"/>
          <w:highlight w:val="none"/>
          <w:lang w:val="en-US" w:eastAsia="zh-CN"/>
        </w:rPr>
        <w:t>2.2</w:t>
      </w:r>
      <w:r>
        <w:rPr>
          <w:rFonts w:hint="default" w:ascii="Times New Roman" w:hAnsi="Times New Roman" w:eastAsia="宋体" w:cs="Times New Roman"/>
          <w:b/>
          <w:bCs/>
          <w:color w:val="auto"/>
          <w:sz w:val="21"/>
          <w:szCs w:val="21"/>
          <w:highlight w:val="none"/>
          <w:lang w:val="en-US" w:eastAsia="zh-CN"/>
        </w:rPr>
        <w:t>.6 磁体测试服务相关工作</w:t>
      </w:r>
    </w:p>
    <w:p w14:paraId="33F715B3">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大型超导磁体测试主要包括耐电压测试、气密性测试、热工水力测试、应变测试、低温通电测试等。根据磁体测试进度提供人员、小型设备等服务支持。</w:t>
      </w:r>
    </w:p>
    <w:p w14:paraId="2D70187F">
      <w:pPr>
        <w:adjustRightInd w:val="0"/>
        <w:snapToGrid w:val="0"/>
        <w:spacing w:before="120" w:beforeLines="50" w:line="360" w:lineRule="auto"/>
        <w:rPr>
          <w:rFonts w:hint="default" w:ascii="Times New Roman" w:hAnsi="Times New Roman" w:eastAsia="宋体" w:cs="Times New Roman"/>
          <w:b/>
          <w:bCs/>
          <w:color w:val="auto"/>
          <w:sz w:val="21"/>
          <w:szCs w:val="21"/>
          <w:highlight w:val="none"/>
          <w:lang w:val="en-US" w:eastAsia="zh-CN"/>
        </w:rPr>
      </w:pPr>
      <w:r>
        <w:rPr>
          <w:rFonts w:hint="eastAsia" w:ascii="Times New Roman" w:hAnsi="Times New Roman" w:eastAsia="宋体" w:cs="Times New Roman"/>
          <w:b/>
          <w:bCs/>
          <w:color w:val="auto"/>
          <w:sz w:val="21"/>
          <w:szCs w:val="21"/>
          <w:highlight w:val="none"/>
          <w:lang w:val="en-US" w:eastAsia="zh-CN"/>
        </w:rPr>
        <w:t>2.2</w:t>
      </w:r>
      <w:r>
        <w:rPr>
          <w:rFonts w:hint="default" w:ascii="Times New Roman" w:hAnsi="Times New Roman" w:eastAsia="宋体" w:cs="Times New Roman"/>
          <w:b/>
          <w:bCs/>
          <w:color w:val="auto"/>
          <w:sz w:val="21"/>
          <w:szCs w:val="21"/>
          <w:highlight w:val="none"/>
          <w:lang w:val="en-US" w:eastAsia="zh-CN"/>
        </w:rPr>
        <w:t>.7 磁体测试后拆除及转运</w:t>
      </w:r>
    </w:p>
    <w:p w14:paraId="714D2D31">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w:t>
      </w:r>
      <w:r>
        <w:rPr>
          <w:rFonts w:hint="eastAsia" w:ascii="Times New Roman" w:hAnsi="Times New Roman" w:eastAsia="宋体" w:cs="Times New Roman"/>
          <w:color w:val="auto"/>
          <w:sz w:val="21"/>
          <w:szCs w:val="21"/>
          <w:highlight w:val="none"/>
          <w:lang w:val="en-US" w:eastAsia="zh-CN"/>
        </w:rPr>
        <w:t xml:space="preserve"> 磁体测试完成后，进行回温全过程监测，确保磁体安全。</w:t>
      </w:r>
    </w:p>
    <w:p w14:paraId="6FF06F5D">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2）</w:t>
      </w:r>
      <w:r>
        <w:rPr>
          <w:rFonts w:hint="default" w:ascii="Times New Roman" w:hAnsi="Times New Roman" w:eastAsia="宋体" w:cs="Times New Roman"/>
          <w:color w:val="auto"/>
          <w:sz w:val="21"/>
          <w:szCs w:val="21"/>
          <w:highlight w:val="none"/>
          <w:lang w:val="en-US" w:eastAsia="zh-CN"/>
        </w:rPr>
        <w:t>杜瓦</w:t>
      </w:r>
      <w:r>
        <w:rPr>
          <w:rFonts w:hint="eastAsia" w:ascii="Times New Roman" w:hAnsi="Times New Roman" w:eastAsia="宋体" w:cs="Times New Roman"/>
          <w:color w:val="auto"/>
          <w:sz w:val="21"/>
          <w:szCs w:val="21"/>
          <w:highlight w:val="none"/>
          <w:lang w:val="en-US" w:eastAsia="zh-CN"/>
        </w:rPr>
        <w:t>破真空后，进行</w:t>
      </w:r>
      <w:r>
        <w:rPr>
          <w:rFonts w:hint="default" w:ascii="Times New Roman" w:hAnsi="Times New Roman" w:eastAsia="宋体" w:cs="Times New Roman"/>
          <w:color w:val="auto"/>
          <w:sz w:val="21"/>
          <w:szCs w:val="21"/>
          <w:highlight w:val="none"/>
          <w:lang w:val="en-US" w:eastAsia="zh-CN"/>
        </w:rPr>
        <w:t>卡钳拆除及上盖起吊至指定位置。</w:t>
      </w:r>
    </w:p>
    <w:p w14:paraId="71A77672">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3</w:t>
      </w:r>
      <w:r>
        <w:rPr>
          <w:rFonts w:hint="default" w:ascii="Times New Roman" w:hAnsi="Times New Roman" w:eastAsia="宋体"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lang w:val="en-US" w:eastAsia="zh-CN"/>
        </w:rPr>
        <w:t>磁体低温进出液低温管道切割、测量元器件低压测量引线拆除、高压测量引线拆除、馈线与磁体连接超导接头拆除。</w:t>
      </w:r>
    </w:p>
    <w:p w14:paraId="31D166A4">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4</w:t>
      </w:r>
      <w:r>
        <w:rPr>
          <w:rFonts w:hint="default" w:ascii="Times New Roman" w:hAnsi="Times New Roman" w:eastAsia="宋体"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lang w:val="en-US" w:eastAsia="zh-CN"/>
        </w:rPr>
        <w:t>磁体支撑拆除并起吊至指定位置。</w:t>
      </w:r>
    </w:p>
    <w:p w14:paraId="12974199">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5</w:t>
      </w:r>
      <w:r>
        <w:rPr>
          <w:rFonts w:hint="default" w:ascii="Times New Roman" w:hAnsi="Times New Roman" w:eastAsia="宋体"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lang w:val="en-US" w:eastAsia="zh-CN"/>
        </w:rPr>
        <w:t>拆除完成后转运至指定地点。</w:t>
      </w:r>
    </w:p>
    <w:p w14:paraId="1FF1D24D">
      <w:pPr>
        <w:adjustRightInd w:val="0"/>
        <w:snapToGrid w:val="0"/>
        <w:spacing w:before="120" w:beforeLines="50" w:line="360" w:lineRule="auto"/>
        <w:rPr>
          <w:rFonts w:hint="default" w:ascii="Times New Roman" w:hAnsi="Times New Roman" w:eastAsia="宋体" w:cs="Times New Roman"/>
          <w:b/>
          <w:color w:val="auto"/>
          <w:sz w:val="24"/>
          <w:highlight w:val="none"/>
          <w:lang w:val="en-US" w:eastAsia="zh-CN"/>
        </w:rPr>
      </w:pPr>
      <w:r>
        <w:rPr>
          <w:rFonts w:hint="eastAsia" w:ascii="Times New Roman" w:hAnsi="Times New Roman" w:eastAsia="宋体" w:cs="Times New Roman"/>
          <w:b/>
          <w:color w:val="auto"/>
          <w:sz w:val="24"/>
          <w:highlight w:val="none"/>
          <w:lang w:val="en-US" w:eastAsia="zh-CN"/>
        </w:rPr>
        <w:t xml:space="preserve">2.3 </w:t>
      </w:r>
      <w:r>
        <w:rPr>
          <w:rFonts w:hint="default" w:ascii="Times New Roman" w:hAnsi="Times New Roman" w:eastAsia="宋体" w:cs="Times New Roman"/>
          <w:b/>
          <w:color w:val="auto"/>
          <w:sz w:val="24"/>
          <w:highlight w:val="none"/>
          <w:lang w:val="en-US" w:eastAsia="zh-CN"/>
        </w:rPr>
        <w:t>技术要求</w:t>
      </w:r>
    </w:p>
    <w:p w14:paraId="66BE4C29">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本文所提出的技术要求并不完全包括国家规范和标准的全部要求，投标人除必须满足本文中所提出的各项要求外，还应满足相应的国家及行业标准、规范和其他相关标准、规范要求。关于</w:t>
      </w:r>
      <w:r>
        <w:rPr>
          <w:rFonts w:hint="default" w:ascii="Times New Roman" w:hAnsi="Times New Roman" w:eastAsia="宋体" w:cs="Times New Roman"/>
          <w:color w:val="auto"/>
          <w:kern w:val="2"/>
          <w:sz w:val="21"/>
          <w:szCs w:val="21"/>
          <w:highlight w:val="none"/>
          <w:lang w:val="en-US" w:eastAsia="zh-CN" w:bidi="ar"/>
        </w:rPr>
        <w:t>大型超导磁体测试</w:t>
      </w:r>
      <w:r>
        <w:rPr>
          <w:rFonts w:hint="eastAsia" w:ascii="Times New Roman" w:hAnsi="Times New Roman" w:eastAsia="宋体" w:cs="Times New Roman"/>
          <w:color w:val="auto"/>
          <w:kern w:val="2"/>
          <w:sz w:val="21"/>
          <w:szCs w:val="21"/>
          <w:highlight w:val="none"/>
          <w:lang w:val="en-US" w:eastAsia="zh-CN" w:bidi="ar"/>
        </w:rPr>
        <w:t>装配集成及辅助</w:t>
      </w:r>
      <w:r>
        <w:rPr>
          <w:rFonts w:hint="default" w:ascii="Times New Roman" w:hAnsi="Times New Roman" w:eastAsia="宋体" w:cs="Times New Roman"/>
          <w:color w:val="auto"/>
          <w:sz w:val="21"/>
          <w:szCs w:val="21"/>
          <w:highlight w:val="none"/>
          <w:lang w:val="en-US" w:eastAsia="zh-CN"/>
        </w:rPr>
        <w:t>外协服务项目，供应商需根据采购合同与技术协议的设计输入提交过程规范，现场安装及运行人员配置等内容。</w:t>
      </w:r>
    </w:p>
    <w:p w14:paraId="29DFF7C3">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磁体测试主要包括耐电压测试、气密性测试磁体测试服务以完成磁体测试为最终目标。根据测试进度提供相应服务。</w:t>
      </w:r>
    </w:p>
    <w:p w14:paraId="3496CA04">
      <w:pPr>
        <w:adjustRightInd w:val="0"/>
        <w:snapToGrid w:val="0"/>
        <w:spacing w:before="120" w:beforeLines="50" w:line="360" w:lineRule="auto"/>
        <w:rPr>
          <w:rFonts w:hint="default" w:ascii="Times New Roman" w:hAnsi="Times New Roman" w:eastAsia="宋体" w:cs="Times New Roman"/>
          <w:b/>
          <w:bCs/>
          <w:color w:val="auto"/>
          <w:sz w:val="21"/>
          <w:szCs w:val="21"/>
          <w:highlight w:val="none"/>
          <w:lang w:val="en-US" w:eastAsia="zh-CN"/>
        </w:rPr>
      </w:pPr>
      <w:r>
        <w:rPr>
          <w:rFonts w:hint="eastAsia" w:ascii="Times New Roman" w:hAnsi="Times New Roman" w:eastAsia="宋体" w:cs="Times New Roman"/>
          <w:b/>
          <w:bCs/>
          <w:color w:val="auto"/>
          <w:sz w:val="21"/>
          <w:szCs w:val="21"/>
          <w:highlight w:val="none"/>
          <w:lang w:val="en-US" w:eastAsia="zh-CN"/>
        </w:rPr>
        <w:t>2.3</w:t>
      </w:r>
      <w:r>
        <w:rPr>
          <w:rFonts w:hint="default" w:ascii="Times New Roman" w:hAnsi="Times New Roman" w:eastAsia="宋体" w:cs="Times New Roman"/>
          <w:b/>
          <w:bCs/>
          <w:color w:val="auto"/>
          <w:sz w:val="21"/>
          <w:szCs w:val="21"/>
          <w:highlight w:val="none"/>
          <w:lang w:val="en-US" w:eastAsia="zh-CN"/>
        </w:rPr>
        <w:t>.1 通用要求</w:t>
      </w:r>
    </w:p>
    <w:p w14:paraId="308248F5">
      <w:pPr>
        <w:adjustRightInd w:val="0"/>
        <w:snapToGrid w:val="0"/>
        <w:spacing w:before="120" w:beforeLines="50" w:line="360" w:lineRule="auto"/>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2.3.</w:t>
      </w:r>
      <w:r>
        <w:rPr>
          <w:rFonts w:hint="default" w:ascii="Times New Roman" w:hAnsi="Times New Roman" w:eastAsia="宋体" w:cs="Times New Roman"/>
          <w:b w:val="0"/>
          <w:bCs w:val="0"/>
          <w:color w:val="auto"/>
          <w:sz w:val="21"/>
          <w:szCs w:val="21"/>
          <w:highlight w:val="none"/>
          <w:lang w:val="en-US" w:eastAsia="zh-CN"/>
        </w:rPr>
        <w:t>1.1 杜瓦内工作要求</w:t>
      </w:r>
    </w:p>
    <w:p w14:paraId="0028355C">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w:t>
      </w:r>
      <w:r>
        <w:rPr>
          <w:rFonts w:hint="eastAsia"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lang w:val="en-US" w:eastAsia="zh-CN"/>
        </w:rPr>
        <w:t>进入杜瓦内工作，需保证杜瓦内环境清洁，不带入有污渍的工具或其它设备。完成工作清洁工作区域，并带走相应废弃物。</w:t>
      </w:r>
    </w:p>
    <w:p w14:paraId="63BFB4A0">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w:t>
      </w:r>
      <w:r>
        <w:rPr>
          <w:rFonts w:hint="eastAsia"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lang w:val="en-US" w:eastAsia="zh-CN"/>
        </w:rPr>
        <w:t>进入杜瓦，需要进行人员、工作区域、工作内容报备。工作前需熟悉工作流程，拆卸部件进行统一归纳，且标识。</w:t>
      </w:r>
    </w:p>
    <w:p w14:paraId="4F2DD914">
      <w:pPr>
        <w:adjustRightInd w:val="0"/>
        <w:snapToGrid w:val="0"/>
        <w:spacing w:before="120" w:beforeLines="50" w:line="360" w:lineRule="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2.3.</w:t>
      </w:r>
      <w:r>
        <w:rPr>
          <w:rFonts w:hint="default" w:ascii="Times New Roman" w:hAnsi="Times New Roman" w:cs="Times New Roman"/>
          <w:color w:val="auto"/>
          <w:sz w:val="21"/>
          <w:szCs w:val="21"/>
          <w:highlight w:val="none"/>
          <w:lang w:val="en-US" w:eastAsia="zh-CN"/>
        </w:rPr>
        <w:t>1.2 人员要求</w:t>
      </w:r>
    </w:p>
    <w:p w14:paraId="3B59DCC5">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w:t>
      </w:r>
      <w:r>
        <w:rPr>
          <w:rFonts w:hint="eastAsia"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lang w:val="en-US" w:eastAsia="zh-CN"/>
        </w:rPr>
        <w:t>行车操作人员及引导人员需具备起吊工作资格并有大型重型设备起吊经验。</w:t>
      </w:r>
    </w:p>
    <w:p w14:paraId="4178751D">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w:t>
      </w:r>
      <w:r>
        <w:rPr>
          <w:rFonts w:hint="eastAsia"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lang w:val="en-US" w:eastAsia="zh-CN"/>
        </w:rPr>
        <w:t>低温管道焊接人员，需具备常低温焊接资格证书。</w:t>
      </w:r>
    </w:p>
    <w:p w14:paraId="293171F7">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w:t>
      </w:r>
      <w:r>
        <w:rPr>
          <w:rFonts w:hint="eastAsia"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lang w:val="en-US" w:eastAsia="zh-CN"/>
        </w:rPr>
        <w:t>无损检测人员，射线、渗透、氦气密性检测</w:t>
      </w:r>
      <w:r>
        <w:rPr>
          <w:rFonts w:hint="eastAsia" w:ascii="Times New Roman" w:hAnsi="Times New Roman" w:eastAsia="宋体" w:cs="Times New Roman"/>
          <w:color w:val="auto"/>
          <w:sz w:val="21"/>
          <w:szCs w:val="21"/>
          <w:highlight w:val="none"/>
          <w:lang w:val="en-US" w:eastAsia="zh-CN"/>
        </w:rPr>
        <w:t>项目</w:t>
      </w:r>
      <w:r>
        <w:rPr>
          <w:rFonts w:hint="default" w:ascii="Times New Roman" w:hAnsi="Times New Roman" w:eastAsia="宋体" w:cs="Times New Roman"/>
          <w:color w:val="auto"/>
          <w:sz w:val="21"/>
          <w:szCs w:val="21"/>
          <w:highlight w:val="none"/>
          <w:lang w:val="en-US" w:eastAsia="zh-CN"/>
        </w:rPr>
        <w:t>需具备II级以上资格。</w:t>
      </w:r>
    </w:p>
    <w:p w14:paraId="2B84710F">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4)</w:t>
      </w:r>
      <w:r>
        <w:rPr>
          <w:rFonts w:hint="eastAsia"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lang w:val="en-US" w:eastAsia="zh-CN"/>
        </w:rPr>
        <w:t>测量引线连人员，了解常见接口类型及协议规范，能熟练使用万用表、示波器、信号发生器、逻辑分析仪等设备校准仪器精度，设置合理的量程与采样率；具备电路故障定位能力，如断路、短路、接触不良等，能过波形分析、数据对比等方式验证信号质量。</w:t>
      </w:r>
    </w:p>
    <w:p w14:paraId="7C2BBAA0">
      <w:pPr>
        <w:adjustRightInd w:val="0"/>
        <w:snapToGrid w:val="0"/>
        <w:spacing w:before="120" w:beforeLines="50" w:line="360" w:lineRule="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2.3.</w:t>
      </w:r>
      <w:r>
        <w:rPr>
          <w:rFonts w:hint="default" w:ascii="Times New Roman" w:hAnsi="Times New Roman" w:cs="Times New Roman"/>
          <w:color w:val="auto"/>
          <w:sz w:val="21"/>
          <w:szCs w:val="21"/>
          <w:highlight w:val="none"/>
          <w:lang w:val="en-US" w:eastAsia="zh-CN"/>
        </w:rPr>
        <w:t>1.3 磁体及相关部件吊装及转运要求</w:t>
      </w:r>
    </w:p>
    <w:p w14:paraId="516DD846">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磁体及相关部件，在磁体接收和磁体测试（吊入杜瓦）需要使用行车，主要要求如下：</w:t>
      </w:r>
    </w:p>
    <w:p w14:paraId="5FE52BEC">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起吊前，检查起重机（桥式、梁式等）的轨道、电机、钢丝绳、吊钩、限位器、制动器等关键部件，确保无磨损、变形或裂纹。</w:t>
      </w:r>
    </w:p>
    <w:p w14:paraId="302E2988">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auto"/>
        <w:ind w:left="0" w:leftChars="0"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验证控制按钮、电缆、紧急停止功能正常，无短路或漏电风险。</w:t>
      </w:r>
    </w:p>
    <w:p w14:paraId="5DFD0554">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auto"/>
        <w:ind w:left="0" w:leftChars="0"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测量转运路径的净空高度、宽度，避开障碍物（如管道、设备、建筑结构）。</w:t>
      </w:r>
    </w:p>
    <w:p w14:paraId="22508DF2">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auto"/>
        <w:ind w:left="0" w:leftChars="0"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起吊时，确保作业区域光线充足，操作员视线无遮挡。</w:t>
      </w:r>
    </w:p>
    <w:p w14:paraId="7CE7F0DD">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auto"/>
        <w:ind w:left="0" w:leftChars="0"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根据提供的磁体吊架，通过花篮螺栓起吊磁体，吊装过程中，磁体倾斜角度不高于6°。</w:t>
      </w:r>
    </w:p>
    <w:p w14:paraId="717D718D">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auto"/>
        <w:ind w:left="0" w:leftChars="0"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起吊前，进行试吊，将磁体吊离地面100-200mm，静止1-2分钟，检查行车稳定性、吊具受力情况及重物平衡。若发现倾斜或异常响声，立即停止作业并调整。</w:t>
      </w:r>
    </w:p>
    <w:p w14:paraId="7CA51A52">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auto"/>
        <w:ind w:left="0" w:leftChars="0"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转运过程中，应进行速度控制，避免急加速/急停，防止重物摆动。其次，转运时，应尽可能沿直线移动，减少横向晃动；需转向时，提前减速。第三，配备至少1名指挥员，使用标准手势或对讲机沟通。第四，严禁人员在重物下方或移动路径内停留。</w:t>
      </w:r>
    </w:p>
    <w:p w14:paraId="34FAD3D1">
      <w:pPr>
        <w:adjustRightInd w:val="0"/>
        <w:snapToGrid w:val="0"/>
        <w:spacing w:before="120" w:beforeLines="50" w:line="360" w:lineRule="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2.3.</w:t>
      </w:r>
      <w:r>
        <w:rPr>
          <w:rFonts w:hint="default" w:ascii="Times New Roman" w:hAnsi="Times New Roman" w:cs="Times New Roman"/>
          <w:color w:val="auto"/>
          <w:sz w:val="21"/>
          <w:szCs w:val="21"/>
          <w:highlight w:val="none"/>
          <w:lang w:val="en-US" w:eastAsia="zh-CN"/>
        </w:rPr>
        <w:t>1.4 低温及压力管道焊接要求</w:t>
      </w:r>
    </w:p>
    <w:p w14:paraId="08AAAC09">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在杜瓦外或杜瓦内安装低温管道和压力引管时，需采用焊接方式进行连接管道，主要要求如下：</w:t>
      </w:r>
    </w:p>
    <w:p w14:paraId="7E8A4BF3">
      <w:pPr>
        <w:keepNext w:val="0"/>
        <w:keepLines w:val="0"/>
        <w:pageBreakBefore w:val="0"/>
        <w:widowControl w:val="0"/>
        <w:numPr>
          <w:ilvl w:val="0"/>
          <w:numId w:val="3"/>
        </w:numPr>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提供连接管和焊材。焊接管材选择适用于低温的316L无磁不锈钢，确保管材在低温下无韧性-脆性转变；填充焊材，需与母材匹配。</w:t>
      </w:r>
    </w:p>
    <w:p w14:paraId="0833BBEB">
      <w:pPr>
        <w:keepNext w:val="0"/>
        <w:keepLines w:val="0"/>
        <w:pageBreakBefore w:val="0"/>
        <w:widowControl w:val="0"/>
        <w:numPr>
          <w:ilvl w:val="0"/>
          <w:numId w:val="3"/>
        </w:numPr>
        <w:kinsoku/>
        <w:wordWrap/>
        <w:overflowPunct/>
        <w:topLinePunct w:val="0"/>
        <w:autoSpaceDE/>
        <w:autoSpaceDN/>
        <w:bidi w:val="0"/>
        <w:adjustRightInd w:val="0"/>
        <w:snapToGrid w:val="0"/>
        <w:spacing w:line="360" w:lineRule="auto"/>
        <w:ind w:left="0" w:leftChars="0"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管道焊接前，对焊接部分进行打磨，清洗，确保焊接区域清洁无污染。</w:t>
      </w:r>
    </w:p>
    <w:p w14:paraId="67983BB3">
      <w:pPr>
        <w:keepNext w:val="0"/>
        <w:keepLines w:val="0"/>
        <w:pageBreakBefore w:val="0"/>
        <w:widowControl w:val="0"/>
        <w:numPr>
          <w:ilvl w:val="0"/>
          <w:numId w:val="3"/>
        </w:numPr>
        <w:kinsoku/>
        <w:wordWrap/>
        <w:overflowPunct/>
        <w:topLinePunct w:val="0"/>
        <w:autoSpaceDE/>
        <w:autoSpaceDN/>
        <w:bidi w:val="0"/>
        <w:adjustRightInd w:val="0"/>
        <w:snapToGrid w:val="0"/>
        <w:spacing w:line="360" w:lineRule="auto"/>
        <w:ind w:left="0" w:leftChars="0"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管道焊接时，控制热输入，（低电流/电压、快焊速），避免晶粒粗化；必要时采用多层多道焊减少热应力。此外，对重要焊缝采用双层气体保护（背面氩气）防止氧化。</w:t>
      </w:r>
    </w:p>
    <w:p w14:paraId="29EB618E">
      <w:pPr>
        <w:keepNext w:val="0"/>
        <w:keepLines w:val="0"/>
        <w:pageBreakBefore w:val="0"/>
        <w:widowControl w:val="0"/>
        <w:numPr>
          <w:ilvl w:val="0"/>
          <w:numId w:val="3"/>
        </w:numPr>
        <w:kinsoku/>
        <w:wordWrap/>
        <w:overflowPunct/>
        <w:topLinePunct w:val="0"/>
        <w:autoSpaceDE/>
        <w:autoSpaceDN/>
        <w:bidi w:val="0"/>
        <w:adjustRightInd w:val="0"/>
        <w:snapToGrid w:val="0"/>
        <w:spacing w:line="360" w:lineRule="auto"/>
        <w:ind w:left="0" w:leftChars="0"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焊接时，焊接采用对接焊接，平面度≤0.1mm/m，同轴度误差≤0.05mm。</w:t>
      </w:r>
    </w:p>
    <w:p w14:paraId="6EB54804">
      <w:pPr>
        <w:keepNext w:val="0"/>
        <w:keepLines w:val="0"/>
        <w:pageBreakBefore w:val="0"/>
        <w:widowControl w:val="0"/>
        <w:numPr>
          <w:ilvl w:val="0"/>
          <w:numId w:val="3"/>
        </w:numPr>
        <w:kinsoku/>
        <w:wordWrap/>
        <w:overflowPunct/>
        <w:topLinePunct w:val="0"/>
        <w:autoSpaceDE/>
        <w:autoSpaceDN/>
        <w:bidi w:val="0"/>
        <w:adjustRightInd w:val="0"/>
        <w:snapToGrid w:val="0"/>
        <w:spacing w:line="360" w:lineRule="auto"/>
        <w:ind w:left="0" w:leftChars="0"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焊接完成后，进行表面清理后使用液氮进行冷冲击，释放焊接应力。</w:t>
      </w:r>
    </w:p>
    <w:p w14:paraId="5C72AD26">
      <w:pPr>
        <w:keepNext w:val="0"/>
        <w:keepLines w:val="0"/>
        <w:pageBreakBefore w:val="0"/>
        <w:widowControl w:val="0"/>
        <w:numPr>
          <w:ilvl w:val="0"/>
          <w:numId w:val="3"/>
        </w:numPr>
        <w:kinsoku/>
        <w:wordWrap/>
        <w:overflowPunct/>
        <w:topLinePunct w:val="0"/>
        <w:autoSpaceDE/>
        <w:autoSpaceDN/>
        <w:bidi w:val="0"/>
        <w:adjustRightInd w:val="0"/>
        <w:snapToGrid w:val="0"/>
        <w:spacing w:line="360" w:lineRule="auto"/>
        <w:ind w:left="0" w:leftChars="0"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焊接完成后，100%进行氦质谱检漏（真空</w:t>
      </w:r>
      <w:r>
        <w:rPr>
          <w:rFonts w:hint="eastAsia" w:ascii="Times New Roman" w:hAnsi="Times New Roman" w:eastAsia="宋体"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正压法，管内氦压不低于1MPa），焊缝漏率小于1×10</w:t>
      </w:r>
      <w:r>
        <w:rPr>
          <w:rFonts w:hint="default" w:ascii="Times New Roman" w:hAnsi="Times New Roman" w:eastAsia="宋体" w:cs="Times New Roman"/>
          <w:color w:val="auto"/>
          <w:sz w:val="21"/>
          <w:szCs w:val="21"/>
          <w:highlight w:val="none"/>
          <w:vertAlign w:val="superscript"/>
          <w:lang w:val="en-US" w:eastAsia="zh-CN"/>
        </w:rPr>
        <w:t>-9</w:t>
      </w:r>
      <w:r>
        <w:rPr>
          <w:rFonts w:hint="default" w:ascii="Times New Roman" w:hAnsi="Times New Roman" w:eastAsia="宋体" w:cs="Times New Roman"/>
          <w:color w:val="auto"/>
          <w:sz w:val="21"/>
          <w:szCs w:val="21"/>
          <w:highlight w:val="none"/>
          <w:lang w:val="en-US" w:eastAsia="zh-CN"/>
        </w:rPr>
        <w:t>Pa·m</w:t>
      </w:r>
      <w:r>
        <w:rPr>
          <w:rFonts w:hint="default" w:ascii="Times New Roman" w:hAnsi="Times New Roman" w:eastAsia="宋体" w:cs="Times New Roman"/>
          <w:color w:val="auto"/>
          <w:sz w:val="21"/>
          <w:szCs w:val="21"/>
          <w:highlight w:val="none"/>
          <w:vertAlign w:val="superscript"/>
          <w:lang w:val="en-US" w:eastAsia="zh-CN"/>
        </w:rPr>
        <w:t>3</w:t>
      </w:r>
      <w:r>
        <w:rPr>
          <w:rFonts w:hint="default" w:ascii="Times New Roman" w:hAnsi="Times New Roman" w:eastAsia="宋体" w:cs="Times New Roman"/>
          <w:color w:val="auto"/>
          <w:sz w:val="21"/>
          <w:szCs w:val="21"/>
          <w:highlight w:val="none"/>
          <w:lang w:val="en-US" w:eastAsia="zh-CN"/>
        </w:rPr>
        <w:t>/s，示踪氦气使用方式与甲方进行协商。</w:t>
      </w:r>
    </w:p>
    <w:p w14:paraId="6648C2D7">
      <w:pPr>
        <w:adjustRightInd w:val="0"/>
        <w:snapToGrid w:val="0"/>
        <w:spacing w:before="120" w:beforeLines="50" w:line="360" w:lineRule="auto"/>
        <w:rPr>
          <w:rFonts w:hint="default" w:ascii="Times New Roman" w:hAnsi="Times New Roman" w:cs="Times New Roman"/>
          <w:b/>
          <w:bCs/>
          <w:color w:val="auto"/>
          <w:sz w:val="21"/>
          <w:szCs w:val="21"/>
          <w:highlight w:val="none"/>
          <w:lang w:val="en-US" w:eastAsia="zh-CN"/>
        </w:rPr>
      </w:pPr>
      <w:r>
        <w:rPr>
          <w:rFonts w:hint="eastAsia" w:ascii="Times New Roman" w:hAnsi="Times New Roman" w:cs="Times New Roman"/>
          <w:b/>
          <w:bCs/>
          <w:color w:val="auto"/>
          <w:sz w:val="21"/>
          <w:szCs w:val="21"/>
          <w:highlight w:val="none"/>
          <w:lang w:val="en-US" w:eastAsia="zh-CN"/>
        </w:rPr>
        <w:t>2.3</w:t>
      </w:r>
      <w:r>
        <w:rPr>
          <w:rFonts w:hint="default" w:ascii="Times New Roman" w:hAnsi="Times New Roman" w:cs="Times New Roman"/>
          <w:b/>
          <w:bCs/>
          <w:color w:val="auto"/>
          <w:sz w:val="21"/>
          <w:szCs w:val="21"/>
          <w:highlight w:val="none"/>
          <w:lang w:val="en-US" w:eastAsia="zh-CN"/>
        </w:rPr>
        <w:t xml:space="preserve">.2 转运及检查主要要求 </w:t>
      </w:r>
    </w:p>
    <w:p w14:paraId="3E59AB91">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w:t>
      </w:r>
      <w:r>
        <w:rPr>
          <w:rFonts w:hint="eastAsia"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lang w:val="en-US" w:eastAsia="zh-CN"/>
        </w:rPr>
        <w:t>场地勘察：提前确认8#厂房内运输路径（通道宽度、地面承重、净空高度）、指定位置区域以及下车点。清除所有障碍物。</w:t>
      </w:r>
    </w:p>
    <w:p w14:paraId="1AA8F039">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w:t>
      </w:r>
      <w:r>
        <w:rPr>
          <w:rFonts w:hint="eastAsia"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lang w:val="en-US" w:eastAsia="zh-CN"/>
        </w:rPr>
        <w:t>设备与工具：准备认证且吨位匹配的吊带/钢丝绳、卸扣、保护垫木等。检查所有吊具无磨损、变形。</w:t>
      </w:r>
    </w:p>
    <w:p w14:paraId="4E50A49C">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3)车辆固定：车辆停稳并采取防移动措施（如轮挡）。移除内部固定件（如支架、绑带），切勿在固定状态下强行起吊。</w:t>
      </w:r>
    </w:p>
    <w:p w14:paraId="0B1B4286">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4)</w:t>
      </w:r>
      <w:r>
        <w:rPr>
          <w:rFonts w:hint="eastAsia"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lang w:val="en-US" w:eastAsia="zh-CN"/>
        </w:rPr>
        <w:t>连接吊具：严格按照技术文件要求，将吊具连接至磁体本身的专用吊点。严禁将吊具直接套挂在磁体磁体、引线管或阀件等脆弱部位。在磁体棱角处使用护角保护吊带。</w:t>
      </w:r>
    </w:p>
    <w:p w14:paraId="572674AD">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5)</w:t>
      </w:r>
      <w:r>
        <w:rPr>
          <w:rFonts w:hint="eastAsia"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lang w:val="en-US" w:eastAsia="zh-CN"/>
        </w:rPr>
        <w:t>转运与就位：由专人指挥，缓慢、平稳地将磁体吊运至8#厂房内指定位置的正上方。缓慢下降。全程保持低速，避免晃动和急停。</w:t>
      </w:r>
    </w:p>
    <w:p w14:paraId="3AD57C3F">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6)</w:t>
      </w:r>
      <w:r>
        <w:rPr>
          <w:rFonts w:hint="eastAsia"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lang w:val="en-US" w:eastAsia="zh-CN"/>
        </w:rPr>
        <w:t>外观检查：记录磁体外表的状态，对磁体整体进行360°环视，查找是否穿在表面缺陷。</w:t>
      </w:r>
    </w:p>
    <w:p w14:paraId="10E29740">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7)</w:t>
      </w:r>
      <w:r>
        <w:rPr>
          <w:rFonts w:hint="eastAsia"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lang w:val="en-US" w:eastAsia="zh-CN"/>
        </w:rPr>
        <w:t>磁体连接检查：检查接头、电压抽头线、信号线的绝缘外皮是否完好，有无割伤、磨损。确认螺栓紧固无松动。</w:t>
      </w:r>
    </w:p>
    <w:p w14:paraId="082C04AD">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8)</w:t>
      </w:r>
      <w:r>
        <w:rPr>
          <w:rFonts w:hint="eastAsia"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lang w:val="en-US" w:eastAsia="zh-CN"/>
        </w:rPr>
        <w:t>绝缘耐压测试：进行现场绝缘电阻测试，测试电压（21.2kV）见技术参数指标。要求在电压稳定维持5min的过程中测试部件不发生闪络，无击穿及明显的放电现象，同时要求磁体绝缘电阻大于500MΩ。</w:t>
      </w:r>
    </w:p>
    <w:p w14:paraId="585C5E95">
      <w:pPr>
        <w:adjustRightInd w:val="0"/>
        <w:snapToGrid w:val="0"/>
        <w:spacing w:before="120" w:beforeLines="50" w:line="360" w:lineRule="auto"/>
        <w:rPr>
          <w:rFonts w:hint="default" w:ascii="Times New Roman" w:hAnsi="Times New Roman" w:cs="Times New Roman"/>
          <w:b/>
          <w:bCs/>
          <w:color w:val="auto"/>
          <w:sz w:val="21"/>
          <w:szCs w:val="21"/>
          <w:highlight w:val="none"/>
          <w:lang w:val="en-US" w:eastAsia="zh-CN"/>
        </w:rPr>
      </w:pPr>
      <w:r>
        <w:rPr>
          <w:rFonts w:hint="eastAsia" w:ascii="Times New Roman" w:hAnsi="Times New Roman" w:cs="Times New Roman"/>
          <w:b/>
          <w:bCs/>
          <w:color w:val="auto"/>
          <w:sz w:val="21"/>
          <w:szCs w:val="21"/>
          <w:highlight w:val="none"/>
          <w:lang w:val="en-US" w:eastAsia="zh-CN"/>
        </w:rPr>
        <w:t>2.3.</w:t>
      </w:r>
      <w:r>
        <w:rPr>
          <w:rFonts w:hint="default" w:ascii="Times New Roman" w:hAnsi="Times New Roman" w:cs="Times New Roman"/>
          <w:b/>
          <w:bCs/>
          <w:color w:val="auto"/>
          <w:sz w:val="21"/>
          <w:szCs w:val="21"/>
          <w:highlight w:val="none"/>
          <w:lang w:val="en-US" w:eastAsia="zh-CN"/>
        </w:rPr>
        <w:t>3 磁体杜瓦外集成主要要求</w:t>
      </w:r>
    </w:p>
    <w:p w14:paraId="4BCDC20E">
      <w:pPr>
        <w:adjustRightInd w:val="0"/>
        <w:snapToGrid w:val="0"/>
        <w:spacing w:before="120" w:beforeLines="50" w:line="360" w:lineRule="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2.3.</w:t>
      </w:r>
      <w:r>
        <w:rPr>
          <w:rFonts w:hint="default" w:ascii="Times New Roman" w:hAnsi="Times New Roman" w:cs="Times New Roman"/>
          <w:color w:val="auto"/>
          <w:sz w:val="21"/>
          <w:szCs w:val="21"/>
          <w:highlight w:val="none"/>
          <w:lang w:val="en-US" w:eastAsia="zh-CN"/>
        </w:rPr>
        <w:t>3.1  磁体及支撑夹具安装</w:t>
      </w:r>
    </w:p>
    <w:p w14:paraId="6FF8B44E">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w:t>
      </w:r>
      <w:r>
        <w:rPr>
          <w:rFonts w:hint="eastAsia"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lang w:val="en-US" w:eastAsia="zh-CN"/>
        </w:rPr>
        <w:t>磁体支撑安装，使用激光跟踪仪进行测量，保证支撑顶部平面高度差不高于1mm。</w:t>
      </w:r>
    </w:p>
    <w:p w14:paraId="56B1FCBC">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w:t>
      </w:r>
      <w:r>
        <w:rPr>
          <w:rFonts w:hint="eastAsia"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lang w:val="en-US" w:eastAsia="zh-CN"/>
        </w:rPr>
        <w:t>根据磁体表面靶点，建立测量坐标系，根据磁体与支撑下夹具空间位置关系，调整支撑位置，测量精度不低于1mm。</w:t>
      </w:r>
    </w:p>
    <w:p w14:paraId="18D675B3">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w:t>
      </w:r>
      <w:r>
        <w:rPr>
          <w:rFonts w:hint="eastAsia"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lang w:val="en-US" w:eastAsia="zh-CN"/>
        </w:rPr>
        <w:t>安装磁体夹具（含G10垫板），支撑螺杆扭矩预紧至指定力矩。</w:t>
      </w:r>
    </w:p>
    <w:p w14:paraId="4A2DF1A8">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4)</w:t>
      </w:r>
      <w:r>
        <w:rPr>
          <w:rFonts w:hint="eastAsia"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lang w:val="en-US" w:eastAsia="zh-CN"/>
        </w:rPr>
        <w:t>乙方需提供详细安装方案，待甲方审核后，方可实施。</w:t>
      </w:r>
    </w:p>
    <w:p w14:paraId="6AEB85AE">
      <w:pPr>
        <w:adjustRightInd w:val="0"/>
        <w:snapToGrid w:val="0"/>
        <w:spacing w:before="120" w:beforeLines="50" w:line="360" w:lineRule="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2.3.</w:t>
      </w:r>
      <w:r>
        <w:rPr>
          <w:rFonts w:hint="default" w:ascii="Times New Roman" w:hAnsi="Times New Roman" w:cs="Times New Roman"/>
          <w:color w:val="auto"/>
          <w:sz w:val="21"/>
          <w:szCs w:val="21"/>
          <w:highlight w:val="none"/>
          <w:lang w:val="en-US" w:eastAsia="zh-CN"/>
        </w:rPr>
        <w:t>3.2  低温温度计安装</w:t>
      </w:r>
    </w:p>
    <w:p w14:paraId="11F41C6C">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w:t>
      </w:r>
      <w:r>
        <w:rPr>
          <w:rFonts w:hint="eastAsia"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lang w:val="en-US" w:eastAsia="zh-CN"/>
        </w:rPr>
        <w:t>选取好应变片需要粘贴位置，进行清洁处理。</w:t>
      </w:r>
    </w:p>
    <w:p w14:paraId="0430AB1F">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w:t>
      </w:r>
      <w:r>
        <w:rPr>
          <w:rFonts w:hint="eastAsia"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lang w:val="en-US" w:eastAsia="zh-CN"/>
        </w:rPr>
        <w:t>使用导热良好的材料（如无氧铜）固定温度计，确保与待测物体紧密接触。</w:t>
      </w:r>
    </w:p>
    <w:p w14:paraId="09C67C81">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w:t>
      </w:r>
      <w:r>
        <w:rPr>
          <w:rFonts w:hint="eastAsia"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lang w:val="en-US" w:eastAsia="zh-CN"/>
        </w:rPr>
        <w:t>应避免机械应力，勿弯曲或拉扯引线，防止内部应变影响电阻值。</w:t>
      </w:r>
    </w:p>
    <w:p w14:paraId="5E26DAB9">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4)</w:t>
      </w:r>
      <w:r>
        <w:rPr>
          <w:rFonts w:hint="eastAsia"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lang w:val="en-US" w:eastAsia="zh-CN"/>
        </w:rPr>
        <w:t>引线处理，使用低热导导线（如磷青铜或锰铜线），减少热传导误差，同时，采用四线制接法消除引线电阻影响。</w:t>
      </w:r>
    </w:p>
    <w:p w14:paraId="4A9C73F2">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5)</w:t>
      </w:r>
      <w:r>
        <w:rPr>
          <w:rFonts w:hint="eastAsia"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lang w:val="en-US" w:eastAsia="zh-CN"/>
        </w:rPr>
        <w:t>使用低温焊锡（如Sn</w:t>
      </w:r>
      <w:r>
        <w:rPr>
          <w:rFonts w:hint="default" w:ascii="Times New Roman" w:hAnsi="Times New Roman" w:eastAsia="宋体" w:cs="Times New Roman"/>
          <w:color w:val="auto"/>
          <w:sz w:val="21"/>
          <w:szCs w:val="21"/>
          <w:highlight w:val="none"/>
          <w:vertAlign w:val="subscript"/>
          <w:lang w:val="en-US" w:eastAsia="zh-CN"/>
        </w:rPr>
        <w:t>60</w:t>
      </w:r>
      <w:r>
        <w:rPr>
          <w:rFonts w:hint="default" w:ascii="Times New Roman" w:hAnsi="Times New Roman" w:eastAsia="宋体" w:cs="Times New Roman"/>
          <w:color w:val="auto"/>
          <w:sz w:val="21"/>
          <w:szCs w:val="21"/>
          <w:highlight w:val="none"/>
          <w:lang w:val="en-US" w:eastAsia="zh-CN"/>
        </w:rPr>
        <w:t>Pb</w:t>
      </w:r>
      <w:r>
        <w:rPr>
          <w:rFonts w:hint="default" w:ascii="Times New Roman" w:hAnsi="Times New Roman" w:eastAsia="宋体" w:cs="Times New Roman"/>
          <w:color w:val="auto"/>
          <w:sz w:val="21"/>
          <w:szCs w:val="21"/>
          <w:highlight w:val="none"/>
          <w:vertAlign w:val="subscript"/>
          <w:lang w:val="en-US" w:eastAsia="zh-CN"/>
        </w:rPr>
        <w:t>40</w:t>
      </w:r>
      <w:r>
        <w:rPr>
          <w:rFonts w:hint="default" w:ascii="Times New Roman" w:hAnsi="Times New Roman" w:eastAsia="宋体" w:cs="Times New Roman"/>
          <w:color w:val="auto"/>
          <w:sz w:val="21"/>
          <w:szCs w:val="21"/>
          <w:highlight w:val="none"/>
          <w:lang w:val="en-US" w:eastAsia="zh-CN"/>
        </w:rPr>
        <w:t>）焊接引线，避免高温损伤温度计；焊点需光滑无毛刺。</w:t>
      </w:r>
    </w:p>
    <w:p w14:paraId="28A6D37B">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6)</w:t>
      </w:r>
      <w:r>
        <w:rPr>
          <w:rFonts w:hint="eastAsia"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lang w:val="en-US" w:eastAsia="zh-CN"/>
        </w:rPr>
        <w:t>安装完成后，进行阻值测量，测量值与标准值基本保持一致。</w:t>
      </w:r>
    </w:p>
    <w:p w14:paraId="0B11B658">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7)</w:t>
      </w:r>
      <w:r>
        <w:rPr>
          <w:rFonts w:hint="eastAsia"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lang w:val="en-US" w:eastAsia="zh-CN"/>
        </w:rPr>
        <w:t>粘贴完毕后，对其与所有金属接触面使用聚酰亚胺胶带进行绝缘处理。接头处同样进行绝缘处理。随后在其表面使用铝箔胶带粘贴，做绝热处理。</w:t>
      </w:r>
    </w:p>
    <w:p w14:paraId="073672D8">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8)</w:t>
      </w:r>
      <w:r>
        <w:rPr>
          <w:rFonts w:hint="eastAsia"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lang w:val="en-US" w:eastAsia="zh-CN"/>
        </w:rPr>
        <w:t>乙方需提供详细安装方案，待甲方审核后，方可实施。</w:t>
      </w:r>
    </w:p>
    <w:p w14:paraId="644CCC27">
      <w:pPr>
        <w:adjustRightInd w:val="0"/>
        <w:snapToGrid w:val="0"/>
        <w:spacing w:before="120" w:beforeLines="50" w:line="360" w:lineRule="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2.3.</w:t>
      </w:r>
      <w:r>
        <w:rPr>
          <w:rFonts w:hint="default" w:ascii="Times New Roman" w:hAnsi="Times New Roman" w:cs="Times New Roman"/>
          <w:color w:val="auto"/>
          <w:sz w:val="21"/>
          <w:szCs w:val="21"/>
          <w:highlight w:val="none"/>
          <w:lang w:val="en-US" w:eastAsia="zh-CN"/>
        </w:rPr>
        <w:t>3.3  应变花安装</w:t>
      </w:r>
    </w:p>
    <w:p w14:paraId="153203F2">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w:t>
      </w:r>
      <w:r>
        <w:rPr>
          <w:rFonts w:hint="eastAsia"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lang w:val="en-US" w:eastAsia="zh-CN"/>
        </w:rPr>
        <w:t>选取好应变片需要粘贴位置，祛除毛刺、凸起等不良影响，随后使用后酒精进行清洁。</w:t>
      </w:r>
    </w:p>
    <w:p w14:paraId="1265E84C">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w:t>
      </w:r>
      <w:r>
        <w:rPr>
          <w:rFonts w:hint="eastAsia"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lang w:val="en-US" w:eastAsia="zh-CN"/>
        </w:rPr>
        <w:t>专用应变胶，确保高粘结强度和环境稳定性。粘贴过程中，应在应变片背面均匀涂胶，避免气泡，其次，精准定位（角度误差 ≤ ±1°），用胶带固定后加压（约0.1~0.2MPa）至固化。最后，固化时间与温度需严格按粘合剂要求执行（如室温固化24小时或加热加速固化）。</w:t>
      </w:r>
    </w:p>
    <w:p w14:paraId="6E9C2CA2">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w:t>
      </w:r>
      <w:r>
        <w:rPr>
          <w:rFonts w:hint="eastAsia"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lang w:val="en-US" w:eastAsia="zh-CN"/>
        </w:rPr>
        <w:t>使用低温焊锡焊接引线，避免高温损伤应变片；焊点光滑无虚焊。确保焊点质量。</w:t>
      </w:r>
    </w:p>
    <w:p w14:paraId="76C5A57A">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4)</w:t>
      </w:r>
      <w:r>
        <w:rPr>
          <w:rFonts w:hint="eastAsia"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lang w:val="en-US" w:eastAsia="zh-CN"/>
        </w:rPr>
        <w:t>导线需用胶带或绑扎固定，避免移动产生寄生应变。</w:t>
      </w:r>
    </w:p>
    <w:p w14:paraId="3BDCD95A">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5)</w:t>
      </w:r>
      <w:r>
        <w:rPr>
          <w:rFonts w:hint="eastAsia"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lang w:val="en-US" w:eastAsia="zh-CN"/>
        </w:rPr>
        <w:t>安在无应力区域粘贴同批次应变片作为温度补偿，消除热输出影响。</w:t>
      </w:r>
    </w:p>
    <w:p w14:paraId="4BE416BB">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6)</w:t>
      </w:r>
      <w:r>
        <w:rPr>
          <w:rFonts w:hint="eastAsia"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lang w:val="en-US" w:eastAsia="zh-CN"/>
        </w:rPr>
        <w:t>完成安装后，测量各应变片电阻值，与标称值偏差 ≤ ± 0.5Ω。其次进行绝缘测试，应变片与试件间绝缘电阻≥ 100MΩ。</w:t>
      </w:r>
    </w:p>
    <w:p w14:paraId="01D1F6AE">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7)</w:t>
      </w:r>
      <w:r>
        <w:rPr>
          <w:rFonts w:hint="eastAsia"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lang w:val="en-US" w:eastAsia="zh-CN"/>
        </w:rPr>
        <w:t>乙方需提供详细安装方案，待甲方审核后，方可实施。</w:t>
      </w:r>
    </w:p>
    <w:p w14:paraId="2D008A1D">
      <w:pPr>
        <w:adjustRightInd w:val="0"/>
        <w:snapToGrid w:val="0"/>
        <w:spacing w:before="120" w:beforeLines="50" w:line="360" w:lineRule="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2.3.</w:t>
      </w:r>
      <w:r>
        <w:rPr>
          <w:rFonts w:hint="default" w:ascii="Times New Roman" w:hAnsi="Times New Roman" w:cs="Times New Roman"/>
          <w:color w:val="auto"/>
          <w:sz w:val="21"/>
          <w:szCs w:val="21"/>
          <w:highlight w:val="none"/>
          <w:lang w:val="en-US" w:eastAsia="zh-CN"/>
        </w:rPr>
        <w:t>3.4  霍尔传感器安装</w:t>
      </w:r>
    </w:p>
    <w:p w14:paraId="5C364E3C">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w:t>
      </w:r>
      <w:r>
        <w:rPr>
          <w:rFonts w:hint="eastAsia"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lang w:val="en-US" w:eastAsia="zh-CN"/>
        </w:rPr>
        <w:t>应确定内表面中平面位置，安装位置应进行表面处理后进行安装。</w:t>
      </w:r>
    </w:p>
    <w:p w14:paraId="19FEACBE">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w:t>
      </w:r>
      <w:r>
        <w:rPr>
          <w:rFonts w:hint="eastAsia"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lang w:val="en-US" w:eastAsia="zh-CN"/>
        </w:rPr>
        <w:t>精准定位（角度误差≤±1°），确保霍尔敏感轴（如轴向或径向）与磁场方向垂直/平行（依型号而定）。</w:t>
      </w:r>
    </w:p>
    <w:p w14:paraId="50B2CBDA">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w:t>
      </w:r>
      <w:r>
        <w:rPr>
          <w:rFonts w:hint="eastAsia"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lang w:val="en-US" w:eastAsia="zh-CN"/>
        </w:rPr>
        <w:t>用胶带固定后加压（约0.1~0.2MPa）至固化。</w:t>
      </w:r>
    </w:p>
    <w:p w14:paraId="7D32B611">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4)</w:t>
      </w:r>
      <w:r>
        <w:rPr>
          <w:rFonts w:hint="eastAsia"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lang w:val="en-US" w:eastAsia="zh-CN"/>
        </w:rPr>
        <w:t>乙方需提供详细安装方案，待甲方审核后，方可实施。</w:t>
      </w:r>
    </w:p>
    <w:p w14:paraId="233CC4CC">
      <w:pPr>
        <w:adjustRightInd w:val="0"/>
        <w:snapToGrid w:val="0"/>
        <w:spacing w:before="120" w:beforeLines="50" w:line="360" w:lineRule="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2.3.</w:t>
      </w:r>
      <w:r>
        <w:rPr>
          <w:rFonts w:hint="default" w:ascii="Times New Roman" w:hAnsi="Times New Roman" w:cs="Times New Roman"/>
          <w:color w:val="auto"/>
          <w:sz w:val="21"/>
          <w:szCs w:val="21"/>
          <w:highlight w:val="none"/>
          <w:lang w:val="en-US" w:eastAsia="zh-CN"/>
        </w:rPr>
        <w:t xml:space="preserve">3.5 </w:t>
      </w:r>
      <w:r>
        <w:rPr>
          <w:rFonts w:hint="eastAsia" w:ascii="Times New Roman" w:hAnsi="Times New Roman" w:cs="Times New Roman"/>
          <w:color w:val="auto"/>
          <w:sz w:val="21"/>
          <w:szCs w:val="21"/>
          <w:highlight w:val="none"/>
          <w:lang w:val="en-US" w:eastAsia="zh-CN"/>
        </w:rPr>
        <w:t xml:space="preserve"> </w:t>
      </w:r>
      <w:r>
        <w:rPr>
          <w:rFonts w:hint="default" w:ascii="Times New Roman" w:hAnsi="Times New Roman" w:cs="Times New Roman"/>
          <w:color w:val="auto"/>
          <w:sz w:val="21"/>
          <w:szCs w:val="21"/>
          <w:highlight w:val="none"/>
          <w:lang w:val="en-US" w:eastAsia="zh-CN"/>
        </w:rPr>
        <w:t>低温流量计</w:t>
      </w:r>
    </w:p>
    <w:p w14:paraId="39877C41">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低温流量计制造</w:t>
      </w:r>
    </w:p>
    <w:p w14:paraId="70C31C69">
      <w:pPr>
        <w:keepNext w:val="0"/>
        <w:keepLines w:val="0"/>
        <w:pageBreakBefore w:val="0"/>
        <w:widowControl w:val="0"/>
        <w:numPr>
          <w:ilvl w:val="0"/>
          <w:numId w:val="4"/>
        </w:numPr>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根据测量要求，加工制造6个低温流量计。</w:t>
      </w:r>
    </w:p>
    <w:p w14:paraId="13BBDBE7">
      <w:pPr>
        <w:keepNext w:val="0"/>
        <w:keepLines w:val="0"/>
        <w:pageBreakBefore w:val="0"/>
        <w:widowControl w:val="0"/>
        <w:numPr>
          <w:ilvl w:val="0"/>
          <w:numId w:val="4"/>
        </w:numPr>
        <w:kinsoku/>
        <w:wordWrap/>
        <w:overflowPunct/>
        <w:topLinePunct w:val="0"/>
        <w:autoSpaceDE/>
        <w:autoSpaceDN/>
        <w:bidi w:val="0"/>
        <w:adjustRightInd w:val="0"/>
        <w:snapToGrid w:val="0"/>
        <w:spacing w:line="360" w:lineRule="auto"/>
        <w:ind w:left="0" w:leftChars="0"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制造时，上游直管段长度应不小于10倍管径，下有直管段管径长度应不小于5倍管径，确保流动稳定性。</w:t>
      </w:r>
    </w:p>
    <w:p w14:paraId="6577F8F3">
      <w:pPr>
        <w:keepNext w:val="0"/>
        <w:keepLines w:val="0"/>
        <w:pageBreakBefore w:val="0"/>
        <w:widowControl w:val="0"/>
        <w:numPr>
          <w:ilvl w:val="0"/>
          <w:numId w:val="4"/>
        </w:numPr>
        <w:kinsoku/>
        <w:wordWrap/>
        <w:overflowPunct/>
        <w:topLinePunct w:val="0"/>
        <w:autoSpaceDE/>
        <w:autoSpaceDN/>
        <w:bidi w:val="0"/>
        <w:adjustRightInd w:val="0"/>
        <w:snapToGrid w:val="0"/>
        <w:spacing w:line="360" w:lineRule="auto"/>
        <w:ind w:left="0" w:leftChars="0"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管道清洁，彻底清除管道内焊渣、油脂等杂质，防止堵塞或损伤节流装置。</w:t>
      </w:r>
    </w:p>
    <w:p w14:paraId="7721C139">
      <w:pPr>
        <w:keepNext w:val="0"/>
        <w:keepLines w:val="0"/>
        <w:pageBreakBefore w:val="0"/>
        <w:widowControl w:val="0"/>
        <w:numPr>
          <w:ilvl w:val="0"/>
          <w:numId w:val="4"/>
        </w:numPr>
        <w:kinsoku/>
        <w:wordWrap/>
        <w:overflowPunct/>
        <w:topLinePunct w:val="0"/>
        <w:autoSpaceDE/>
        <w:autoSpaceDN/>
        <w:bidi w:val="0"/>
        <w:adjustRightInd w:val="0"/>
        <w:snapToGrid w:val="0"/>
        <w:spacing w:line="360" w:lineRule="auto"/>
        <w:ind w:left="0" w:leftChars="0"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造完成后进行耐压和气密性检测，流量计耐压不低于2MPa。</w:t>
      </w:r>
    </w:p>
    <w:p w14:paraId="269F8580">
      <w:pPr>
        <w:keepNext w:val="0"/>
        <w:keepLines w:val="0"/>
        <w:pageBreakBefore w:val="0"/>
        <w:widowControl w:val="0"/>
        <w:numPr>
          <w:ilvl w:val="0"/>
          <w:numId w:val="4"/>
        </w:numPr>
        <w:kinsoku/>
        <w:wordWrap/>
        <w:overflowPunct/>
        <w:topLinePunct w:val="0"/>
        <w:autoSpaceDE/>
        <w:autoSpaceDN/>
        <w:bidi w:val="0"/>
        <w:adjustRightInd w:val="0"/>
        <w:snapToGrid w:val="0"/>
        <w:spacing w:line="360" w:lineRule="auto"/>
        <w:ind w:left="0" w:leftChars="0"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真空-正压法进行氦气密性检漏，氦漏率要求小于1×10</w:t>
      </w:r>
      <w:r>
        <w:rPr>
          <w:rFonts w:hint="default" w:ascii="Times New Roman" w:hAnsi="Times New Roman" w:eastAsia="宋体" w:cs="Times New Roman"/>
          <w:color w:val="auto"/>
          <w:sz w:val="21"/>
          <w:szCs w:val="21"/>
          <w:highlight w:val="none"/>
          <w:vertAlign w:val="superscript"/>
          <w:lang w:val="en-US" w:eastAsia="zh-CN"/>
        </w:rPr>
        <w:t>-9</w:t>
      </w:r>
      <w:r>
        <w:rPr>
          <w:rFonts w:hint="default" w:ascii="Times New Roman" w:hAnsi="Times New Roman" w:eastAsia="宋体" w:cs="Times New Roman"/>
          <w:color w:val="auto"/>
          <w:sz w:val="21"/>
          <w:szCs w:val="21"/>
          <w:highlight w:val="none"/>
          <w:lang w:val="en-US" w:eastAsia="zh-CN"/>
        </w:rPr>
        <w:t>Pa·m</w:t>
      </w:r>
      <w:r>
        <w:rPr>
          <w:rFonts w:hint="default" w:ascii="Times New Roman" w:hAnsi="Times New Roman" w:eastAsia="宋体" w:cs="Times New Roman"/>
          <w:color w:val="auto"/>
          <w:sz w:val="21"/>
          <w:szCs w:val="21"/>
          <w:highlight w:val="none"/>
          <w:vertAlign w:val="superscript"/>
          <w:lang w:val="en-US" w:eastAsia="zh-CN"/>
        </w:rPr>
        <w:t>3</w:t>
      </w:r>
      <w:r>
        <w:rPr>
          <w:rFonts w:hint="default" w:ascii="Times New Roman" w:hAnsi="Times New Roman" w:eastAsia="宋体" w:cs="Times New Roman"/>
          <w:color w:val="auto"/>
          <w:sz w:val="21"/>
          <w:szCs w:val="21"/>
          <w:highlight w:val="none"/>
          <w:lang w:val="en-US" w:eastAsia="zh-CN"/>
        </w:rPr>
        <w:t>/s。</w:t>
      </w:r>
    </w:p>
    <w:p w14:paraId="5948504B">
      <w:pPr>
        <w:keepNext w:val="0"/>
        <w:keepLines w:val="0"/>
        <w:pageBreakBefore w:val="0"/>
        <w:widowControl w:val="0"/>
        <w:numPr>
          <w:ilvl w:val="0"/>
          <w:numId w:val="4"/>
        </w:numPr>
        <w:kinsoku/>
        <w:wordWrap/>
        <w:overflowPunct/>
        <w:topLinePunct w:val="0"/>
        <w:autoSpaceDE/>
        <w:autoSpaceDN/>
        <w:bidi w:val="0"/>
        <w:adjustRightInd w:val="0"/>
        <w:snapToGrid w:val="0"/>
        <w:spacing w:line="360" w:lineRule="auto"/>
        <w:ind w:left="0" w:leftChars="0"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进行低温工况下进行实流标定，修正温度、密度对流量系数的影响，并提供相关检测报告。</w:t>
      </w:r>
    </w:p>
    <w:p w14:paraId="7FA1B94F">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低温流量计安装</w:t>
      </w:r>
    </w:p>
    <w:p w14:paraId="217F8107">
      <w:pPr>
        <w:keepNext w:val="0"/>
        <w:keepLines w:val="0"/>
        <w:pageBreakBefore w:val="0"/>
        <w:widowControl w:val="0"/>
        <w:numPr>
          <w:ilvl w:val="0"/>
          <w:numId w:val="5"/>
        </w:numPr>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低温流量计与管道必须同轴安装，偏心误差≤1%管径。</w:t>
      </w:r>
    </w:p>
    <w:p w14:paraId="49BF451C">
      <w:pPr>
        <w:keepNext w:val="0"/>
        <w:keepLines w:val="0"/>
        <w:pageBreakBefore w:val="0"/>
        <w:widowControl w:val="0"/>
        <w:numPr>
          <w:ilvl w:val="0"/>
          <w:numId w:val="5"/>
        </w:numPr>
        <w:kinsoku/>
        <w:wordWrap/>
        <w:overflowPunct/>
        <w:topLinePunct w:val="0"/>
        <w:autoSpaceDE/>
        <w:autoSpaceDN/>
        <w:bidi w:val="0"/>
        <w:adjustRightInd w:val="0"/>
        <w:snapToGrid w:val="0"/>
        <w:spacing w:line="360" w:lineRule="auto"/>
        <w:ind w:left="0" w:leftChars="0"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低温流体介质可能引起管道收缩，需预留膨胀节或柔性连接。</w:t>
      </w:r>
    </w:p>
    <w:p w14:paraId="186D7C7E">
      <w:pPr>
        <w:keepNext w:val="0"/>
        <w:keepLines w:val="0"/>
        <w:pageBreakBefore w:val="0"/>
        <w:widowControl w:val="0"/>
        <w:numPr>
          <w:ilvl w:val="0"/>
          <w:numId w:val="5"/>
        </w:numPr>
        <w:kinsoku/>
        <w:wordWrap/>
        <w:overflowPunct/>
        <w:topLinePunct w:val="0"/>
        <w:autoSpaceDE/>
        <w:autoSpaceDN/>
        <w:bidi w:val="0"/>
        <w:adjustRightInd w:val="0"/>
        <w:snapToGrid w:val="0"/>
        <w:spacing w:line="360" w:lineRule="auto"/>
        <w:ind w:left="0" w:leftChars="0"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安装时应严格按文丘里管本体标注的介质流向安装（通常</w:t>
      </w:r>
      <w:r>
        <w:rPr>
          <w:rFonts w:hint="eastAsia" w:ascii="宋体" w:hAnsi="宋体" w:eastAsia="宋体" w:cs="宋体"/>
          <w:color w:val="auto"/>
          <w:sz w:val="21"/>
          <w:szCs w:val="21"/>
          <w:highlight w:val="none"/>
          <w:lang w:val="en-US" w:eastAsia="zh-CN"/>
        </w:rPr>
        <w:t>为“入口→喉部→扩散段”</w:t>
      </w:r>
      <w:r>
        <w:rPr>
          <w:rFonts w:hint="default" w:ascii="Times New Roman" w:hAnsi="Times New Roman" w:eastAsia="宋体" w:cs="Times New Roman"/>
          <w:color w:val="auto"/>
          <w:sz w:val="21"/>
          <w:szCs w:val="21"/>
          <w:highlight w:val="none"/>
          <w:lang w:val="en-US" w:eastAsia="zh-CN"/>
        </w:rPr>
        <w:t>）</w:t>
      </w:r>
    </w:p>
    <w:p w14:paraId="522162B1">
      <w:pPr>
        <w:keepNext w:val="0"/>
        <w:keepLines w:val="0"/>
        <w:pageBreakBefore w:val="0"/>
        <w:widowControl w:val="0"/>
        <w:numPr>
          <w:ilvl w:val="0"/>
          <w:numId w:val="5"/>
        </w:numPr>
        <w:kinsoku/>
        <w:wordWrap/>
        <w:overflowPunct/>
        <w:topLinePunct w:val="0"/>
        <w:autoSpaceDE/>
        <w:autoSpaceDN/>
        <w:bidi w:val="0"/>
        <w:adjustRightInd w:val="0"/>
        <w:snapToGrid w:val="0"/>
        <w:spacing w:line="360" w:lineRule="auto"/>
        <w:ind w:left="0" w:leftChars="0"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对于迫流氦流经流量计，建议水平安装，或垂直安装自下而上流动，避免气体积聚。</w:t>
      </w:r>
    </w:p>
    <w:p w14:paraId="13FF0E3F">
      <w:pPr>
        <w:keepNext w:val="0"/>
        <w:keepLines w:val="0"/>
        <w:pageBreakBefore w:val="0"/>
        <w:widowControl w:val="0"/>
        <w:numPr>
          <w:ilvl w:val="0"/>
          <w:numId w:val="5"/>
        </w:numPr>
        <w:kinsoku/>
        <w:wordWrap/>
        <w:overflowPunct/>
        <w:topLinePunct w:val="0"/>
        <w:autoSpaceDE/>
        <w:autoSpaceDN/>
        <w:bidi w:val="0"/>
        <w:adjustRightInd w:val="0"/>
        <w:snapToGrid w:val="0"/>
        <w:spacing w:line="360" w:lineRule="auto"/>
        <w:ind w:left="0" w:leftChars="0"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乙方需提供详细安装方案，待甲方审核后，方可实施。</w:t>
      </w:r>
    </w:p>
    <w:p w14:paraId="591C7B6F">
      <w:pPr>
        <w:adjustRightInd w:val="0"/>
        <w:snapToGrid w:val="0"/>
        <w:spacing w:before="120" w:beforeLines="50" w:line="360" w:lineRule="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2.3.</w:t>
      </w:r>
      <w:r>
        <w:rPr>
          <w:rFonts w:hint="default" w:ascii="Times New Roman" w:hAnsi="Times New Roman" w:cs="Times New Roman"/>
          <w:color w:val="auto"/>
          <w:sz w:val="21"/>
          <w:szCs w:val="21"/>
          <w:highlight w:val="none"/>
          <w:lang w:val="en-US" w:eastAsia="zh-CN"/>
        </w:rPr>
        <w:t>3.6  失超检测与保护高压线缆室内线路铺设</w:t>
      </w:r>
    </w:p>
    <w:p w14:paraId="272AA03C">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w:t>
      </w:r>
      <w:r>
        <w:rPr>
          <w:rFonts w:hint="eastAsia"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lang w:val="en-US" w:eastAsia="zh-CN"/>
        </w:rPr>
        <w:t>完成</w:t>
      </w:r>
      <w:r>
        <w:rPr>
          <w:rFonts w:hint="eastAsia" w:ascii="Times New Roman" w:hAnsi="Times New Roman" w:eastAsia="宋体" w:cs="Times New Roman"/>
          <w:color w:val="auto"/>
          <w:sz w:val="21"/>
          <w:szCs w:val="21"/>
          <w:highlight w:val="none"/>
          <w:lang w:val="en-US" w:eastAsia="zh-CN"/>
        </w:rPr>
        <w:t>不少于20</w:t>
      </w:r>
      <w:r>
        <w:rPr>
          <w:rFonts w:hint="default" w:ascii="Times New Roman" w:hAnsi="Times New Roman" w:eastAsia="宋体" w:cs="Times New Roman"/>
          <w:color w:val="auto"/>
          <w:sz w:val="21"/>
          <w:szCs w:val="21"/>
          <w:highlight w:val="none"/>
          <w:lang w:val="en-US" w:eastAsia="zh-CN"/>
        </w:rPr>
        <w:t>根测试杜瓦至机房电缆（耐压等级不低于30kV）室内铺设。</w:t>
      </w:r>
    </w:p>
    <w:p w14:paraId="23EBC34A">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w:t>
      </w:r>
      <w:r>
        <w:rPr>
          <w:rFonts w:hint="eastAsia"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lang w:val="en-US" w:eastAsia="zh-CN"/>
        </w:rPr>
        <w:t>根据使用要求，检查电缆规格，并进行外观检查，确保电缆无机械损伤、绝缘层完好，线芯无氧化。</w:t>
      </w:r>
    </w:p>
    <w:p w14:paraId="18199FFC">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w:t>
      </w:r>
      <w:r>
        <w:rPr>
          <w:rFonts w:hint="eastAsia"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lang w:val="en-US" w:eastAsia="zh-CN"/>
        </w:rPr>
        <w:t>敷设前进行绝缘电阻测试。</w:t>
      </w:r>
    </w:p>
    <w:p w14:paraId="51C67E42">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4)</w:t>
      </w:r>
      <w:r>
        <w:rPr>
          <w:rFonts w:hint="eastAsia"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lang w:val="en-US" w:eastAsia="zh-CN"/>
        </w:rPr>
        <w:t>铺设时，每隔20m及关键节点（如转弯、分支处）设置标识牌，标注电缆编号、型号，起止点等信息。</w:t>
      </w:r>
    </w:p>
    <w:p w14:paraId="72B8727B">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5)</w:t>
      </w:r>
      <w:r>
        <w:rPr>
          <w:rFonts w:hint="eastAsia"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lang w:val="en-US" w:eastAsia="zh-CN"/>
        </w:rPr>
        <w:t>更换桥架内部绝缘保护垫，确保绝缘耐压不低于30kV。</w:t>
      </w:r>
    </w:p>
    <w:p w14:paraId="0E46D227">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6)</w:t>
      </w:r>
      <w:r>
        <w:rPr>
          <w:rFonts w:hint="eastAsia"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lang w:val="en-US" w:eastAsia="zh-CN"/>
        </w:rPr>
        <w:t>机房内部各种处理设备之间的弱电信号的传输放线及标签标识，线缆需要从桥架走。</w:t>
      </w:r>
    </w:p>
    <w:p w14:paraId="335CA96D">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7)</w:t>
      </w:r>
      <w:r>
        <w:rPr>
          <w:rFonts w:hint="eastAsia"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lang w:val="en-US" w:eastAsia="zh-CN"/>
        </w:rPr>
        <w:t>各类设备连接接头的焊接及制作，要求连接可靠性达到100%。</w:t>
      </w:r>
    </w:p>
    <w:p w14:paraId="4817C06E">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8)</w:t>
      </w:r>
      <w:r>
        <w:rPr>
          <w:rFonts w:hint="eastAsia"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lang w:val="en-US" w:eastAsia="zh-CN"/>
        </w:rPr>
        <w:t>完成测试前设备调试工作，系统无故障正常运行周期不低于7天。</w:t>
      </w:r>
    </w:p>
    <w:p w14:paraId="45C3C73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3E5A75"/>
    <w:multiLevelType w:val="singleLevel"/>
    <w:tmpl w:val="9C3E5A75"/>
    <w:lvl w:ilvl="0" w:tentative="0">
      <w:start w:val="1"/>
      <w:numFmt w:val="decimal"/>
      <w:suff w:val="space"/>
      <w:lvlText w:val="%1)"/>
      <w:lvlJc w:val="left"/>
    </w:lvl>
  </w:abstractNum>
  <w:abstractNum w:abstractNumId="1">
    <w:nsid w:val="C7CA1A18"/>
    <w:multiLevelType w:val="singleLevel"/>
    <w:tmpl w:val="C7CA1A18"/>
    <w:lvl w:ilvl="0" w:tentative="0">
      <w:start w:val="1"/>
      <w:numFmt w:val="decimal"/>
      <w:suff w:val="space"/>
      <w:lvlText w:val="%1)"/>
      <w:lvlJc w:val="left"/>
    </w:lvl>
  </w:abstractNum>
  <w:abstractNum w:abstractNumId="2">
    <w:nsid w:val="CF5C5F55"/>
    <w:multiLevelType w:val="singleLevel"/>
    <w:tmpl w:val="CF5C5F55"/>
    <w:lvl w:ilvl="0" w:tentative="0">
      <w:start w:val="1"/>
      <w:numFmt w:val="decimal"/>
      <w:suff w:val="space"/>
      <w:lvlText w:val="%1)"/>
      <w:lvlJc w:val="left"/>
    </w:lvl>
  </w:abstractNum>
  <w:abstractNum w:abstractNumId="3">
    <w:nsid w:val="DD767A17"/>
    <w:multiLevelType w:val="singleLevel"/>
    <w:tmpl w:val="DD767A17"/>
    <w:lvl w:ilvl="0" w:tentative="0">
      <w:start w:val="1"/>
      <w:numFmt w:val="decimal"/>
      <w:lvlText w:val="%1)"/>
      <w:lvlJc w:val="left"/>
      <w:pPr>
        <w:ind w:left="425" w:hanging="425"/>
      </w:pPr>
      <w:rPr>
        <w:rFonts w:hint="default"/>
      </w:rPr>
    </w:lvl>
  </w:abstractNum>
  <w:abstractNum w:abstractNumId="4">
    <w:nsid w:val="7A5DFD95"/>
    <w:multiLevelType w:val="singleLevel"/>
    <w:tmpl w:val="7A5DFD95"/>
    <w:lvl w:ilvl="0" w:tentative="0">
      <w:start w:val="1"/>
      <w:numFmt w:val="decimal"/>
      <w:suff w:val="space"/>
      <w:lvlText w:val="%1)"/>
      <w:lvlJc w:val="left"/>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F704A2"/>
    <w:rsid w:val="12F704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before="340" w:beforeLines="0" w:after="330" w:afterLines="0" w:line="578" w:lineRule="auto"/>
      <w:outlineLvl w:val="0"/>
    </w:pPr>
    <w:rPr>
      <w:b/>
      <w:bCs/>
      <w:kern w:val="44"/>
      <w:sz w:val="44"/>
      <w:szCs w:val="44"/>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2026-07-08T08:26:00Z</dcterms:created>
  <dc:creator>宋方方</dc:creator>
  <cp:lastModifiedBy>宋方方</cp:lastModifiedBy>
  <dcterms:modified xsi:type="dcterms:W3CDTF">2026-07-08T08:27:37Z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B2725BABDD8F4740A08E1C10890312DA_11</vt:lpwstr>
  </property>
  <property fmtid="{D5CDD505-2E9C-101B-9397-08002B2CF9AE}" pid="4" name="KSOTemplateDocerSaveRecord">
    <vt:lpwstr>eyJoZGlkIjoiY2ZjZDI4YmRkZDY3MGZmNjNjY2JiZTFlYmI4OWM0ZWEiLCJ1c2VySWQiOiIxNzYzODEyODI4In0=</vt:lpwstr>
  </property>
</Properties>
</file>