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DE182">
      <w:pPr>
        <w:pStyle w:val="2"/>
        <w:widowControl/>
        <w:snapToGrid w:val="0"/>
        <w:spacing w:before="0" w:after="0" w:line="360" w:lineRule="auto"/>
        <w:jc w:val="center"/>
        <w:rPr>
          <w:color w:val="auto"/>
          <w:highlight w:val="none"/>
        </w:rPr>
      </w:pPr>
      <w:r>
        <w:rPr>
          <w:color w:val="auto"/>
          <w:highlight w:val="none"/>
        </w:rPr>
        <w:t>采购需求及技术规格要求</w:t>
      </w:r>
    </w:p>
    <w:p w14:paraId="6DFD3DBB">
      <w:pPr>
        <w:adjustRightInd w:val="0"/>
        <w:snapToGrid w:val="0"/>
        <w:spacing w:before="120" w:beforeLines="50" w:line="360" w:lineRule="auto"/>
        <w:rPr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1、货物需求一览表</w:t>
      </w:r>
    </w:p>
    <w:tbl>
      <w:tblPr>
        <w:tblStyle w:val="3"/>
        <w:tblW w:w="68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2458"/>
        <w:gridCol w:w="958"/>
        <w:gridCol w:w="2652"/>
      </w:tblGrid>
      <w:tr w14:paraId="7B35E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dxa"/>
            <w:noWrap w:val="0"/>
            <w:vAlign w:val="center"/>
          </w:tcPr>
          <w:p w14:paraId="32A0306C">
            <w:pPr>
              <w:adjustRightInd w:val="0"/>
              <w:snapToGrid w:val="0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2458" w:type="dxa"/>
            <w:noWrap w:val="0"/>
            <w:vAlign w:val="center"/>
          </w:tcPr>
          <w:p w14:paraId="3D531941">
            <w:pPr>
              <w:adjustRightInd w:val="0"/>
              <w:snapToGrid w:val="0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货物名称</w:t>
            </w:r>
          </w:p>
        </w:tc>
        <w:tc>
          <w:tcPr>
            <w:tcW w:w="958" w:type="dxa"/>
            <w:noWrap w:val="0"/>
            <w:vAlign w:val="center"/>
          </w:tcPr>
          <w:p w14:paraId="54C7A91C">
            <w:pPr>
              <w:adjustRightInd w:val="0"/>
              <w:snapToGrid w:val="0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数量</w:t>
            </w:r>
          </w:p>
        </w:tc>
        <w:tc>
          <w:tcPr>
            <w:tcW w:w="2652" w:type="dxa"/>
            <w:noWrap w:val="0"/>
            <w:vAlign w:val="center"/>
          </w:tcPr>
          <w:p w14:paraId="58E61818">
            <w:pPr>
              <w:adjustRightInd w:val="0"/>
              <w:snapToGrid w:val="0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交货期</w:t>
            </w:r>
          </w:p>
        </w:tc>
      </w:tr>
      <w:tr w14:paraId="572FC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804" w:type="dxa"/>
            <w:noWrap w:val="0"/>
            <w:vAlign w:val="center"/>
          </w:tcPr>
          <w:p w14:paraId="18A28B14">
            <w:pPr>
              <w:adjustRightInd w:val="0"/>
              <w:snapToGrid w:val="0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2458" w:type="dxa"/>
            <w:noWrap w:val="0"/>
            <w:vAlign w:val="center"/>
          </w:tcPr>
          <w:p w14:paraId="79A52EEC">
            <w:pPr>
              <w:adjustRightInd w:val="0"/>
              <w:snapToGrid w:val="0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热处理炉辅助系统改造</w:t>
            </w:r>
          </w:p>
        </w:tc>
        <w:tc>
          <w:tcPr>
            <w:tcW w:w="958" w:type="dxa"/>
            <w:noWrap w:val="0"/>
            <w:vAlign w:val="center"/>
          </w:tcPr>
          <w:p w14:paraId="12664106">
            <w:pPr>
              <w:adjustRightInd w:val="0"/>
              <w:snapToGrid w:val="0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2652" w:type="dxa"/>
            <w:noWrap w:val="0"/>
            <w:vAlign w:val="center"/>
          </w:tcPr>
          <w:p w14:paraId="559072D3">
            <w:pPr>
              <w:adjustRightInd w:val="0"/>
              <w:snapToGrid w:val="0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合同签订后</w:t>
            </w:r>
            <w:bookmarkStart w:id="27" w:name="_GoBack"/>
            <w:bookmarkEnd w:id="27"/>
            <w:r>
              <w:rPr>
                <w:color w:val="auto"/>
                <w:szCs w:val="21"/>
                <w:highlight w:val="none"/>
              </w:rPr>
              <w:t>2个月内完成交货并验收</w:t>
            </w:r>
          </w:p>
        </w:tc>
      </w:tr>
    </w:tbl>
    <w:p w14:paraId="2F679276">
      <w:pPr>
        <w:numPr>
          <w:ilvl w:val="0"/>
          <w:numId w:val="1"/>
        </w:numPr>
        <w:adjustRightInd w:val="0"/>
        <w:snapToGrid w:val="0"/>
        <w:spacing w:before="120" w:beforeLines="50" w:line="360" w:lineRule="auto"/>
        <w:rPr>
          <w:color w:val="auto"/>
          <w:highlight w:val="none"/>
        </w:rPr>
      </w:pPr>
      <w:bookmarkStart w:id="0" w:name="_Toc509153917"/>
      <w:bookmarkStart w:id="1" w:name="_Toc257021215"/>
      <w:bookmarkStart w:id="2" w:name="_Toc12010788"/>
      <w:bookmarkStart w:id="3" w:name="_Toc12010815"/>
      <w:bookmarkStart w:id="4" w:name="_Toc30409514"/>
      <w:bookmarkStart w:id="5" w:name="_Toc532807472"/>
      <w:r>
        <w:rPr>
          <w:b/>
          <w:color w:val="auto"/>
          <w:sz w:val="24"/>
          <w:highlight w:val="none"/>
        </w:rPr>
        <w:t>工程技术要求</w:t>
      </w:r>
      <w:bookmarkEnd w:id="0"/>
      <w:bookmarkEnd w:id="1"/>
      <w:bookmarkEnd w:id="2"/>
      <w:bookmarkEnd w:id="3"/>
      <w:bookmarkEnd w:id="4"/>
      <w:bookmarkEnd w:id="5"/>
    </w:p>
    <w:p w14:paraId="0EEC0CFB">
      <w:pPr>
        <w:adjustRightInd w:val="0"/>
        <w:snapToGrid w:val="0"/>
        <w:spacing w:before="120" w:beforeLines="50" w:line="360" w:lineRule="auto"/>
        <w:rPr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2.1、设备的主要用途及功能</w:t>
      </w:r>
    </w:p>
    <w:p w14:paraId="00DE0B28">
      <w:pPr>
        <w:spacing w:line="360" w:lineRule="auto"/>
        <w:ind w:firstLine="315" w:firstLineChars="150"/>
        <w:jc w:val="center"/>
        <w:rPr>
          <w:bCs/>
          <w:color w:val="auto"/>
          <w:highlight w:val="none"/>
        </w:rPr>
      </w:pPr>
      <w:r>
        <w:rPr>
          <w:bCs/>
          <w:color w:val="auto"/>
          <w:highlight w:val="none"/>
        </w:rPr>
        <w:drawing>
          <wp:inline distT="0" distB="0" distL="114300" distR="114300">
            <wp:extent cx="2362200" cy="2258695"/>
            <wp:effectExtent l="0" t="0" r="0" b="12065"/>
            <wp:docPr id="2" name="图片 1" descr="总图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总图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0355E">
      <w:pPr>
        <w:spacing w:line="360" w:lineRule="auto"/>
        <w:ind w:firstLine="315" w:firstLineChars="150"/>
        <w:jc w:val="center"/>
        <w:rPr>
          <w:bCs/>
          <w:color w:val="auto"/>
          <w:highlight w:val="none"/>
        </w:rPr>
      </w:pPr>
      <w:r>
        <w:rPr>
          <w:bCs/>
          <w:color w:val="auto"/>
          <w:highlight w:val="none"/>
        </w:rPr>
        <w:t>图2. 超导线圈热处理系统结构示意图</w:t>
      </w:r>
    </w:p>
    <w:p w14:paraId="37F7C5F1">
      <w:pPr>
        <w:spacing w:line="360" w:lineRule="auto"/>
        <w:ind w:firstLine="315" w:firstLineChars="150"/>
        <w:rPr>
          <w:bCs/>
          <w:color w:val="auto"/>
          <w:highlight w:val="none"/>
        </w:rPr>
      </w:pPr>
      <w:r>
        <w:rPr>
          <w:bCs/>
          <w:color w:val="auto"/>
          <w:highlight w:val="none"/>
        </w:rPr>
        <w:t>大型Bi-2212磁体的制备涉及Bi-2212长导体的制备及大型线圈的热处理，目前针对Bi-2212线圈热处理已采购超导线圈热处理系统一套（</w:t>
      </w:r>
      <w:r>
        <w:rPr>
          <w:rFonts w:hint="eastAsia"/>
          <w:bCs/>
          <w:color w:val="auto"/>
          <w:highlight w:val="none"/>
        </w:rPr>
        <w:t>下图</w:t>
      </w:r>
      <w:r>
        <w:rPr>
          <w:bCs/>
          <w:color w:val="auto"/>
          <w:highlight w:val="none"/>
        </w:rPr>
        <w:t>），但要实现Bi-2212线圈热处理所需的高温、高压、富氧环境，仍需要热处理辅助系统。该热处理炉辅助系统改造包含以下必要的子系统：</w:t>
      </w:r>
    </w:p>
    <w:p w14:paraId="4983640D">
      <w:pPr>
        <w:spacing w:line="360" w:lineRule="auto"/>
        <w:ind w:firstLine="315" w:firstLineChars="150"/>
        <w:rPr>
          <w:bCs/>
          <w:color w:val="auto"/>
          <w:highlight w:val="none"/>
        </w:rPr>
      </w:pPr>
      <w:r>
        <w:rPr>
          <w:bCs/>
          <w:color w:val="auto"/>
          <w:highlight w:val="none"/>
        </w:rPr>
        <w:t>混气增压系统-1套；数据采集系统-1套；循环冷水机、空压机-1套；以及现场配电、气路改造等。</w:t>
      </w:r>
    </w:p>
    <w:p w14:paraId="3F0C44F8">
      <w:pPr>
        <w:spacing w:line="360" w:lineRule="auto"/>
        <w:ind w:firstLine="315" w:firstLineChars="150"/>
        <w:jc w:val="center"/>
        <w:rPr>
          <w:bCs/>
          <w:color w:val="auto"/>
          <w:highlight w:val="none"/>
        </w:rPr>
      </w:pPr>
      <w:r>
        <w:rPr>
          <w:bCs/>
          <w:color w:val="auto"/>
          <w:highlight w:val="none"/>
        </w:rPr>
        <w:drawing>
          <wp:inline distT="0" distB="0" distL="114300" distR="114300">
            <wp:extent cx="2362200" cy="2258695"/>
            <wp:effectExtent l="0" t="0" r="0" b="12065"/>
            <wp:docPr id="1" name="图片 2" descr="总图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总图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A804D">
      <w:pPr>
        <w:spacing w:line="360" w:lineRule="auto"/>
        <w:ind w:firstLine="315" w:firstLineChars="150"/>
        <w:jc w:val="center"/>
        <w:rPr>
          <w:bCs/>
          <w:color w:val="auto"/>
          <w:highlight w:val="none"/>
        </w:rPr>
      </w:pPr>
      <w:r>
        <w:rPr>
          <w:bCs/>
          <w:color w:val="auto"/>
          <w:highlight w:val="none"/>
        </w:rPr>
        <w:t>超导线圈热处理系统结构示意图</w:t>
      </w:r>
    </w:p>
    <w:p w14:paraId="11E5D094">
      <w:pPr>
        <w:adjustRightInd w:val="0"/>
        <w:snapToGrid w:val="0"/>
        <w:spacing w:before="120" w:beforeLines="50" w:line="360" w:lineRule="auto"/>
        <w:rPr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2.2、 工作条件</w:t>
      </w:r>
    </w:p>
    <w:p w14:paraId="4B8A6453">
      <w:pPr>
        <w:spacing w:line="360" w:lineRule="auto"/>
        <w:ind w:firstLine="315" w:firstLineChars="150"/>
        <w:rPr>
          <w:bCs/>
          <w:color w:val="auto"/>
          <w:highlight w:val="none"/>
        </w:rPr>
      </w:pPr>
      <w:r>
        <w:rPr>
          <w:bCs/>
          <w:color w:val="auto"/>
          <w:highlight w:val="none"/>
        </w:rPr>
        <w:t>热处理炉辅助系统的工作条件需围绕设备运行安全、工艺精度保障、使用寿命延长设定，涵盖环境条件、介质条件、供电 / 供气 / 供水等公用工程条件、负载条件及操作运维基础条件。除非在技术规格中另有说明，所有仪器、设备和系统都应符合下列要求：</w:t>
      </w:r>
    </w:p>
    <w:p w14:paraId="7E92C2AF">
      <w:pPr>
        <w:spacing w:line="360" w:lineRule="auto"/>
        <w:ind w:firstLine="315" w:firstLineChars="150"/>
        <w:rPr>
          <w:bCs/>
          <w:color w:val="auto"/>
          <w:highlight w:val="none"/>
        </w:rPr>
      </w:pPr>
      <w:r>
        <w:rPr>
          <w:bCs/>
          <w:color w:val="auto"/>
          <w:highlight w:val="none"/>
        </w:rPr>
        <w:t>2.2.1环境工作条件：核心要求为干燥、通风、无腐蚀性 / 爆炸性介质，温湿度稳定，避免环境因素导致炉体腐蚀、电气故障、温控偏差。</w:t>
      </w:r>
    </w:p>
    <w:p w14:paraId="4726519D">
      <w:pPr>
        <w:spacing w:line="360" w:lineRule="auto"/>
        <w:ind w:firstLine="315" w:firstLineChars="150"/>
        <w:rPr>
          <w:bCs/>
          <w:color w:val="auto"/>
          <w:highlight w:val="none"/>
        </w:rPr>
      </w:pPr>
      <w:r>
        <w:rPr>
          <w:bCs/>
          <w:color w:val="auto"/>
          <w:highlight w:val="none"/>
        </w:rPr>
        <w:t>2.2.2供电条件</w:t>
      </w:r>
    </w:p>
    <w:p w14:paraId="352EBD91">
      <w:pPr>
        <w:spacing w:line="360" w:lineRule="auto"/>
        <w:ind w:firstLine="315" w:firstLineChars="150"/>
        <w:rPr>
          <w:bCs/>
          <w:color w:val="auto"/>
          <w:highlight w:val="none"/>
        </w:rPr>
      </w:pPr>
      <w:r>
        <w:rPr>
          <w:bCs/>
          <w:color w:val="auto"/>
          <w:highlight w:val="none"/>
        </w:rPr>
        <w:t>电压与频率：工业常用380V±10%（三相四线 / 五线）、50Hz±2%，单相辅助电路为 220V±10%；供电功率：实际供电容量≥炉体额定功率的 1.2 倍，避免多台大功率设备同时启动导致电压骤降。电气保护，接地电阻≤4Ω；炉体外壳、电气控制柜可靠接地。</w:t>
      </w:r>
    </w:p>
    <w:p w14:paraId="2B686515">
      <w:pPr>
        <w:spacing w:line="360" w:lineRule="auto"/>
        <w:ind w:firstLine="315" w:firstLineChars="150"/>
        <w:rPr>
          <w:bCs/>
          <w:color w:val="auto"/>
          <w:highlight w:val="none"/>
        </w:rPr>
      </w:pPr>
      <w:r>
        <w:rPr>
          <w:bCs/>
          <w:color w:val="auto"/>
          <w:highlight w:val="none"/>
        </w:rPr>
        <w:t>2.2.3冷却介质条件</w:t>
      </w:r>
    </w:p>
    <w:p w14:paraId="5728B781">
      <w:pPr>
        <w:spacing w:line="360" w:lineRule="auto"/>
        <w:ind w:firstLine="315" w:firstLineChars="150"/>
        <w:rPr>
          <w:bCs/>
          <w:color w:val="auto"/>
          <w:highlight w:val="none"/>
        </w:rPr>
      </w:pPr>
      <w:r>
        <w:rPr>
          <w:bCs/>
          <w:color w:val="auto"/>
          <w:highlight w:val="none"/>
        </w:rPr>
        <w:t>水冷系统-水质：工业软水 / 去离子水（避免钙镁离子结垢堵塞管路），电阻率≥500Ω・cm，悬浮物≤5mg/L，pH 值 7~8.5；若使用自来水，需加装水处理器、过滤器。压力与流量：进水压力0.15~0.3MPa，出水压力≥0.05MPa，严禁断水。</w:t>
      </w:r>
    </w:p>
    <w:p w14:paraId="4D6678BB">
      <w:pPr>
        <w:spacing w:line="360" w:lineRule="auto"/>
        <w:ind w:firstLine="315" w:firstLineChars="150"/>
        <w:rPr>
          <w:bCs/>
          <w:color w:val="auto"/>
          <w:highlight w:val="none"/>
        </w:rPr>
      </w:pPr>
      <w:r>
        <w:rPr>
          <w:bCs/>
          <w:color w:val="auto"/>
          <w:highlight w:val="none"/>
        </w:rPr>
        <w:t>2.2.4 海拔高度：&lt;1000米，地震烈度：&lt;4级，最大风速：&lt;34M/S，水平加速度：&lt;0.2G，可满足户内安装，室内无机械通风、空调和采暖条件下使用。</w:t>
      </w:r>
    </w:p>
    <w:p w14:paraId="04277521">
      <w:pPr>
        <w:spacing w:line="360" w:lineRule="auto"/>
        <w:ind w:firstLine="315" w:firstLineChars="150"/>
        <w:rPr>
          <w:bCs/>
          <w:color w:val="auto"/>
          <w:highlight w:val="none"/>
        </w:rPr>
      </w:pPr>
      <w:r>
        <w:rPr>
          <w:bCs/>
          <w:color w:val="auto"/>
          <w:highlight w:val="none"/>
        </w:rPr>
        <w:t>2.2.5适于在气温为-10℃～50℃和相对湿度为90％的环境条件下运输和贮存。</w:t>
      </w:r>
    </w:p>
    <w:p w14:paraId="49E21C4E">
      <w:pPr>
        <w:spacing w:line="360" w:lineRule="auto"/>
        <w:ind w:firstLine="315" w:firstLineChars="150"/>
        <w:rPr>
          <w:bCs/>
          <w:color w:val="auto"/>
          <w:highlight w:val="none"/>
        </w:rPr>
      </w:pPr>
      <w:r>
        <w:rPr>
          <w:bCs/>
          <w:color w:val="auto"/>
          <w:highlight w:val="none"/>
        </w:rPr>
        <w:t>2.2.6适于在气温5℃～40℃和相对湿度85％的环境条件下连续运行。</w:t>
      </w:r>
    </w:p>
    <w:p w14:paraId="32B9456F">
      <w:pPr>
        <w:spacing w:line="360" w:lineRule="auto"/>
        <w:ind w:firstLine="315" w:firstLineChars="150"/>
        <w:rPr>
          <w:bCs/>
          <w:color w:val="auto"/>
          <w:highlight w:val="none"/>
        </w:rPr>
      </w:pPr>
      <w:r>
        <w:rPr>
          <w:bCs/>
          <w:color w:val="auto"/>
          <w:highlight w:val="none"/>
        </w:rPr>
        <w:t>2.2.7如产品达不到上述要求，投标人应注明其偏差。如仪器设备需要特殊工作条件（如水、电源、磁场强度、温度、湿度、动强度等）投标人应在投标书中加以说明</w:t>
      </w:r>
    </w:p>
    <w:p w14:paraId="67BBFD99">
      <w:pPr>
        <w:adjustRightInd w:val="0"/>
        <w:snapToGrid w:val="0"/>
        <w:spacing w:before="120" w:beforeLines="50" w:line="360" w:lineRule="auto"/>
        <w:rPr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2.3、技术性能指标要求</w:t>
      </w:r>
    </w:p>
    <w:p w14:paraId="0A023377">
      <w:pPr>
        <w:spacing w:line="360" w:lineRule="auto"/>
        <w:ind w:firstLine="316" w:firstLineChars="150"/>
        <w:rPr>
          <w:b/>
          <w:bCs/>
          <w:color w:val="auto"/>
          <w:highlight w:val="none"/>
        </w:rPr>
      </w:pPr>
      <w:r>
        <w:rPr>
          <w:b/>
          <w:bCs/>
          <w:color w:val="auto"/>
          <w:highlight w:val="none"/>
        </w:rPr>
        <w:t>2.3.1混气增压系统</w:t>
      </w:r>
    </w:p>
    <w:p w14:paraId="0B043761">
      <w:pPr>
        <w:spacing w:line="360" w:lineRule="auto"/>
        <w:rPr>
          <w:color w:val="auto"/>
          <w:szCs w:val="21"/>
          <w:highlight w:val="none"/>
        </w:rPr>
      </w:pPr>
      <w:bookmarkStart w:id="6" w:name="OLE_LINK15"/>
      <w:r>
        <w:rPr>
          <w:color w:val="auto"/>
          <w:szCs w:val="21"/>
          <w:highlight w:val="none"/>
        </w:rPr>
        <w:t>混配增压系统主要由气瓶减压、混配仪、驱动液压站、液驱气模块、电气部分、系统框架等组成。</w:t>
      </w:r>
    </w:p>
    <w:p w14:paraId="23318AAB">
      <w:pPr>
        <w:spacing w:line="360" w:lineRule="auto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2.3.1.1混配系统主要技术要求如下</w:t>
      </w:r>
    </w:p>
    <w:p w14:paraId="552323D4">
      <w:pPr>
        <w:spacing w:line="360" w:lineRule="auto"/>
        <w:ind w:left="315" w:hanging="315" w:hangingChars="150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1）输入介质气体  Ar、O2（或He、O2）、最大增压压力：混合气体增压至15</w:t>
      </w:r>
      <w:r>
        <w:rPr>
          <w:rFonts w:hint="eastAsia"/>
          <w:color w:val="auto"/>
          <w:szCs w:val="21"/>
          <w:highlight w:val="none"/>
        </w:rPr>
        <w:t xml:space="preserve"> </w:t>
      </w:r>
      <w:r>
        <w:rPr>
          <w:color w:val="auto"/>
          <w:szCs w:val="21"/>
          <w:highlight w:val="none"/>
        </w:rPr>
        <w:t>MPa，增压过程中混合气体比例稳定；</w:t>
      </w:r>
    </w:p>
    <w:p w14:paraId="14E63EF7">
      <w:pPr>
        <w:spacing w:line="360" w:lineRule="auto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2）混合气体流量范围  0～1000NL/min可调， 控制精度 2%FS；</w:t>
      </w:r>
    </w:p>
    <w:p w14:paraId="35ADB3E5">
      <w:pPr>
        <w:spacing w:line="360" w:lineRule="auto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3）混气比例</w:t>
      </w:r>
      <w:r>
        <w:rPr>
          <w:rFonts w:hint="eastAsia"/>
          <w:color w:val="auto"/>
          <w:szCs w:val="21"/>
          <w:highlight w:val="none"/>
        </w:rPr>
        <w:t>0</w:t>
      </w:r>
      <w:r>
        <w:rPr>
          <w:color w:val="auto"/>
          <w:szCs w:val="21"/>
          <w:highlight w:val="none"/>
        </w:rPr>
        <w:t>-</w:t>
      </w:r>
      <w:r>
        <w:rPr>
          <w:rFonts w:hint="eastAsia"/>
          <w:color w:val="auto"/>
          <w:szCs w:val="21"/>
          <w:highlight w:val="none"/>
        </w:rPr>
        <w:t>5</w:t>
      </w:r>
      <w:r>
        <w:rPr>
          <w:color w:val="auto"/>
          <w:szCs w:val="21"/>
          <w:highlight w:val="none"/>
        </w:rPr>
        <w:t>%，连续精准可调；气体比例（O2、Ar、He）实时监测；混配精度±1%；混气出口内置个气体比例的监测，或者直接增加一个气体比例标定的接口；气源和出气端压力差变化时的混气比例精确性；</w:t>
      </w:r>
    </w:p>
    <w:p w14:paraId="6BFC8ABA">
      <w:pPr>
        <w:spacing w:line="360" w:lineRule="auto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4)液驱气泵排量1000</w:t>
      </w:r>
      <w:r>
        <w:rPr>
          <w:rFonts w:hint="eastAsia"/>
          <w:color w:val="auto"/>
          <w:szCs w:val="21"/>
          <w:highlight w:val="none"/>
        </w:rPr>
        <w:t xml:space="preserve"> </w:t>
      </w:r>
      <w:r>
        <w:rPr>
          <w:color w:val="auto"/>
          <w:szCs w:val="21"/>
          <w:highlight w:val="none"/>
        </w:rPr>
        <w:t>NL/min @9</w:t>
      </w:r>
      <w:r>
        <w:rPr>
          <w:rFonts w:hint="eastAsia"/>
          <w:color w:val="auto"/>
          <w:szCs w:val="21"/>
          <w:highlight w:val="none"/>
        </w:rPr>
        <w:t xml:space="preserve"> </w:t>
      </w:r>
      <w:r>
        <w:rPr>
          <w:color w:val="auto"/>
          <w:szCs w:val="21"/>
          <w:highlight w:val="none"/>
        </w:rPr>
        <w:t>bar进气@150</w:t>
      </w:r>
      <w:r>
        <w:rPr>
          <w:rFonts w:hint="eastAsia"/>
          <w:color w:val="auto"/>
          <w:szCs w:val="21"/>
          <w:highlight w:val="none"/>
        </w:rPr>
        <w:t xml:space="preserve"> </w:t>
      </w:r>
      <w:r>
        <w:rPr>
          <w:color w:val="auto"/>
          <w:szCs w:val="21"/>
          <w:highlight w:val="none"/>
        </w:rPr>
        <w:t>bar输出（25</w:t>
      </w:r>
      <w:r>
        <w:rPr>
          <w:rFonts w:hint="eastAsia"/>
          <w:color w:val="auto"/>
          <w:szCs w:val="21"/>
          <w:highlight w:val="none"/>
        </w:rPr>
        <w:t xml:space="preserve"> </w:t>
      </w:r>
      <w:r>
        <w:rPr>
          <w:color w:val="auto"/>
          <w:szCs w:val="21"/>
          <w:highlight w:val="none"/>
        </w:rPr>
        <w:t>℃进气）；气源供气双路供气，更换气瓶时可互相切换气源，实现无缝更换，不影响后端供气；</w:t>
      </w:r>
    </w:p>
    <w:p w14:paraId="065DF101">
      <w:pPr>
        <w:spacing w:line="360" w:lineRule="auto"/>
        <w:rPr>
          <w:color w:val="auto"/>
          <w:szCs w:val="21"/>
          <w:highlight w:val="none"/>
        </w:rPr>
      </w:pPr>
      <w:bookmarkStart w:id="7" w:name="_Toc225427139"/>
      <w:bookmarkStart w:id="8" w:name="_Toc225427031"/>
      <w:r>
        <w:rPr>
          <w:color w:val="auto"/>
          <w:szCs w:val="21"/>
          <w:highlight w:val="none"/>
        </w:rPr>
        <w:t>2.3.1.2功能概述</w:t>
      </w:r>
      <w:bookmarkEnd w:id="7"/>
      <w:bookmarkEnd w:id="8"/>
    </w:p>
    <w:p w14:paraId="4532C18A">
      <w:pPr>
        <w:spacing w:line="360" w:lineRule="auto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混配系统主要由</w:t>
      </w:r>
      <w:bookmarkStart w:id="9" w:name="_Hlk225425332"/>
      <w:r>
        <w:rPr>
          <w:color w:val="auto"/>
          <w:szCs w:val="21"/>
          <w:highlight w:val="none"/>
        </w:rPr>
        <w:t>气瓶减压，</w:t>
      </w:r>
      <w:bookmarkStart w:id="10" w:name="_Hlk225425378"/>
      <w:r>
        <w:rPr>
          <w:color w:val="auto"/>
          <w:szCs w:val="21"/>
          <w:highlight w:val="none"/>
        </w:rPr>
        <w:t>混配仪</w:t>
      </w:r>
      <w:bookmarkEnd w:id="10"/>
      <w:r>
        <w:rPr>
          <w:color w:val="auto"/>
          <w:szCs w:val="21"/>
          <w:highlight w:val="none"/>
        </w:rPr>
        <w:t>，</w:t>
      </w:r>
      <w:bookmarkEnd w:id="9"/>
      <w:r>
        <w:rPr>
          <w:color w:val="auto"/>
          <w:szCs w:val="21"/>
          <w:highlight w:val="none"/>
        </w:rPr>
        <w:t>增压部分，缓冲罐，出口自动调压阀等组成。</w:t>
      </w:r>
    </w:p>
    <w:p w14:paraId="181BEE28">
      <w:pPr>
        <w:spacing w:line="360" w:lineRule="auto"/>
        <w:rPr>
          <w:color w:val="auto"/>
          <w:szCs w:val="21"/>
          <w:highlight w:val="none"/>
        </w:rPr>
      </w:pPr>
      <w:bookmarkStart w:id="11" w:name="_Hlk225425359"/>
      <w:r>
        <w:rPr>
          <w:color w:val="auto"/>
          <w:szCs w:val="21"/>
          <w:highlight w:val="none"/>
        </w:rPr>
        <w:t>1）气瓶减压处气体均采用双路进气模式，两路均设有减压阀。更换气瓶时可互相切换气源，实现无缝更换，不影响后端供气。</w:t>
      </w:r>
    </w:p>
    <w:bookmarkEnd w:id="11"/>
    <w:p w14:paraId="53C0B6DC">
      <w:pPr>
        <w:spacing w:line="360" w:lineRule="auto"/>
        <w:ind w:left="105" w:hanging="105" w:hangingChars="50"/>
        <w:rPr>
          <w:color w:val="auto"/>
          <w:szCs w:val="21"/>
          <w:highlight w:val="none"/>
        </w:rPr>
      </w:pPr>
      <w:bookmarkStart w:id="12" w:name="_Hlk225425389"/>
      <w:r>
        <w:rPr>
          <w:color w:val="auto"/>
          <w:szCs w:val="21"/>
          <w:highlight w:val="none"/>
        </w:rPr>
        <w:t>2）混配仪可兼容Ar、O2或He、O2两种组分的混配， O2的比例0-5%可调H</w:t>
      </w:r>
      <w:r>
        <w:rPr>
          <w:rFonts w:hint="eastAsia"/>
          <w:color w:val="auto"/>
          <w:szCs w:val="21"/>
          <w:highlight w:val="none"/>
        </w:rPr>
        <w:t>e</w:t>
      </w:r>
      <w:r>
        <w:rPr>
          <w:color w:val="auto"/>
          <w:szCs w:val="21"/>
          <w:highlight w:val="none"/>
        </w:rPr>
        <w:t>和AR的比例 +0-100%.可调，自带缓冲罐。</w:t>
      </w:r>
    </w:p>
    <w:bookmarkEnd w:id="12"/>
    <w:p w14:paraId="2795F914">
      <w:pPr>
        <w:spacing w:line="360" w:lineRule="auto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3）增压部分由液驱气泵、液压泵站组成，可将混合气增压至15</w:t>
      </w:r>
      <w:r>
        <w:rPr>
          <w:rFonts w:hint="eastAsia"/>
          <w:color w:val="auto"/>
          <w:szCs w:val="21"/>
          <w:highlight w:val="none"/>
        </w:rPr>
        <w:t xml:space="preserve"> </w:t>
      </w:r>
      <w:r>
        <w:rPr>
          <w:color w:val="auto"/>
          <w:szCs w:val="21"/>
          <w:highlight w:val="none"/>
        </w:rPr>
        <w:t>MPa，暂存至后端缓冲罐内。</w:t>
      </w:r>
    </w:p>
    <w:p w14:paraId="62CA1F88">
      <w:pPr>
        <w:spacing w:line="360" w:lineRule="auto"/>
        <w:ind w:left="210" w:hanging="210" w:hangingChars="100"/>
        <w:rPr>
          <w:rFonts w:eastAsia="黑体"/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4）出口自动调压阀可自动控制后端压力，压力控制范围为0-150</w:t>
      </w:r>
      <w:r>
        <w:rPr>
          <w:rFonts w:hint="eastAsia"/>
          <w:color w:val="auto"/>
          <w:szCs w:val="21"/>
          <w:highlight w:val="none"/>
        </w:rPr>
        <w:t xml:space="preserve"> </w:t>
      </w:r>
      <w:r>
        <w:rPr>
          <w:color w:val="auto"/>
          <w:szCs w:val="21"/>
          <w:highlight w:val="none"/>
        </w:rPr>
        <w:t>bar，确保后端压力平稳。高压管路采用卡套管；管路安装遵循横平竖直原则，设备美观大方</w:t>
      </w:r>
      <w:r>
        <w:rPr>
          <w:rFonts w:eastAsia="黑体"/>
          <w:color w:val="auto"/>
          <w:szCs w:val="21"/>
          <w:highlight w:val="none"/>
        </w:rPr>
        <w:t>。</w:t>
      </w:r>
    </w:p>
    <w:p w14:paraId="3D282A9B">
      <w:pPr>
        <w:spacing w:line="360" w:lineRule="auto"/>
        <w:rPr>
          <w:rFonts w:hint="eastAsia"/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5)设备出口设有安全阀，用于防止系统超压。设备入口设有过滤器可以保证增压介质洁净。</w:t>
      </w:r>
    </w:p>
    <w:p w14:paraId="323878A5">
      <w:pPr>
        <w:spacing w:line="360" w:lineRule="auto"/>
        <w:rPr>
          <w:rFonts w:hint="eastAsia" w:eastAsia="宋体"/>
          <w:color w:val="auto"/>
          <w:szCs w:val="21"/>
          <w:highlight w:val="none"/>
          <w:lang w:eastAsia="zh-CN"/>
        </w:rPr>
      </w:pPr>
      <w:r>
        <w:rPr>
          <w:color w:val="auto"/>
          <w:szCs w:val="21"/>
          <w:highlight w:val="none"/>
        </w:rPr>
        <w:t>2.3.1.3</w:t>
      </w:r>
      <w:bookmarkStart w:id="13" w:name="OLE_LINK16"/>
      <w:r>
        <w:rPr>
          <w:rFonts w:hint="eastAsia"/>
          <w:color w:val="auto"/>
          <w:szCs w:val="21"/>
          <w:highlight w:val="none"/>
        </w:rPr>
        <w:t>核心主设备参数</w:t>
      </w:r>
      <w:bookmarkEnd w:id="13"/>
      <w:r>
        <w:rPr>
          <w:rFonts w:hint="eastAsia"/>
          <w:color w:val="auto"/>
          <w:szCs w:val="21"/>
          <w:highlight w:val="none"/>
          <w:lang w:val="en-US" w:eastAsia="zh-CN"/>
        </w:rPr>
        <w:t>要求</w:t>
      </w:r>
    </w:p>
    <w:p w14:paraId="151CACC4">
      <w:pPr>
        <w:spacing w:line="360" w:lineRule="auto"/>
        <w:ind w:left="315" w:leftChars="100" w:hanging="105" w:hangingChars="50"/>
        <w:rPr>
          <w:rFonts w:hint="eastAsia"/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★气体</w:t>
      </w:r>
      <w:r>
        <w:rPr>
          <w:rFonts w:hint="eastAsia"/>
          <w:color w:val="auto"/>
          <w:szCs w:val="21"/>
          <w:highlight w:val="none"/>
        </w:rPr>
        <w:t>增压部分：压力增压比1：0.3/1：2，最大驱动压力200bar、最大工作压力600bar、最小进气压力2bar；</w:t>
      </w:r>
    </w:p>
    <w:p w14:paraId="6DDAEB42">
      <w:pPr>
        <w:spacing w:line="360" w:lineRule="auto"/>
        <w:ind w:left="315" w:leftChars="100" w:hanging="105" w:hangingChars="50"/>
        <w:rPr>
          <w:rFonts w:hint="eastAsia"/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★</w:t>
      </w:r>
      <w:r>
        <w:rPr>
          <w:rFonts w:hint="eastAsia"/>
          <w:color w:val="auto"/>
          <w:szCs w:val="21"/>
          <w:highlight w:val="none"/>
        </w:rPr>
        <w:t>混配部分：混配流量0-1000NL/MIN、混配精度好于±1%绝对值、适用于氩氧氮氦等气体介质。</w:t>
      </w:r>
    </w:p>
    <w:p w14:paraId="136C2A0B">
      <w:pPr>
        <w:spacing w:line="360" w:lineRule="auto"/>
        <w:ind w:left="315" w:leftChars="100" w:hanging="105" w:hangingChars="50"/>
        <w:rPr>
          <w:rFonts w:hint="eastAsia"/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★</w:t>
      </w:r>
      <w:r>
        <w:rPr>
          <w:rFonts w:hint="eastAsia"/>
          <w:color w:val="auto"/>
          <w:szCs w:val="21"/>
          <w:highlight w:val="none"/>
        </w:rPr>
        <w:t>设备控制系统：配置PLC控制系统，工业PC机，控制程序由厂家适配开发，满足增压控制、混配控制及流量调节控制，并满足设备长时间运行控制；</w:t>
      </w:r>
    </w:p>
    <w:p w14:paraId="5F5B4729">
      <w:pPr>
        <w:spacing w:line="360" w:lineRule="auto"/>
        <w:rPr>
          <w:color w:val="auto"/>
          <w:highlight w:val="none"/>
        </w:rPr>
      </w:pPr>
      <w:r>
        <w:rPr>
          <w:rFonts w:hint="eastAsia"/>
          <w:color w:val="auto"/>
          <w:szCs w:val="21"/>
          <w:highlight w:val="none"/>
        </w:rPr>
        <w:t xml:space="preserve">  </w:t>
      </w:r>
      <w:r>
        <w:rPr>
          <w:rFonts w:ascii="Segoe UI Symbol" w:hAnsi="Segoe UI Symbol" w:cs="Segoe UI Symbol"/>
          <w:color w:val="auto"/>
          <w:szCs w:val="21"/>
          <w:highlight w:val="none"/>
        </w:rPr>
        <w:t>★</w:t>
      </w:r>
      <w:r>
        <w:rPr>
          <w:rFonts w:hint="eastAsia" w:ascii="Calibri" w:hAnsi="Calibri" w:cs="Calibri"/>
          <w:color w:val="auto"/>
          <w:sz w:val="20"/>
          <w:highlight w:val="none"/>
        </w:rPr>
        <w:t>液驱气泵参数：</w:t>
      </w:r>
      <w:r>
        <w:rPr>
          <w:rFonts w:hint="eastAsia"/>
          <w:color w:val="auto"/>
          <w:highlight w:val="none"/>
        </w:rPr>
        <w:t>最大驱动压力，3</w:t>
      </w:r>
      <w:r>
        <w:rPr>
          <w:color w:val="auto"/>
          <w:highlight w:val="none"/>
        </w:rPr>
        <w:t>00</w:t>
      </w:r>
      <w:r>
        <w:rPr>
          <w:rFonts w:hint="eastAsia"/>
          <w:color w:val="auto"/>
          <w:highlight w:val="none"/>
        </w:rPr>
        <w:t>bar、最大工作压力，6</w:t>
      </w:r>
      <w:r>
        <w:rPr>
          <w:color w:val="auto"/>
          <w:highlight w:val="none"/>
        </w:rPr>
        <w:t>00</w:t>
      </w:r>
      <w:r>
        <w:rPr>
          <w:rFonts w:hint="eastAsia"/>
          <w:color w:val="auto"/>
          <w:highlight w:val="none"/>
        </w:rPr>
        <w:t>bar、公称压力增压比，1:</w:t>
      </w:r>
      <w:r>
        <w:rPr>
          <w:color w:val="auto"/>
          <w:highlight w:val="none"/>
        </w:rPr>
        <w:t>0.3/1</w:t>
      </w:r>
      <w:r>
        <w:rPr>
          <w:rFonts w:hint="eastAsia"/>
          <w:color w:val="auto"/>
          <w:highlight w:val="none"/>
        </w:rPr>
        <w:t>:</w:t>
      </w:r>
      <w:r>
        <w:rPr>
          <w:color w:val="auto"/>
          <w:highlight w:val="none"/>
        </w:rPr>
        <w:t>2、</w:t>
      </w:r>
    </w:p>
    <w:p w14:paraId="5C2A93C2">
      <w:pPr>
        <w:spacing w:line="360" w:lineRule="auto"/>
        <w:ind w:firstLine="420" w:firstLineChars="200"/>
        <w:rPr>
          <w:rFonts w:ascii="Calibri" w:hAnsi="Calibri" w:cs="Calibri"/>
          <w:color w:val="auto"/>
          <w:sz w:val="20"/>
          <w:highlight w:val="none"/>
        </w:rPr>
      </w:pPr>
      <w:r>
        <w:rPr>
          <w:rFonts w:hint="eastAsia"/>
          <w:color w:val="auto"/>
          <w:highlight w:val="none"/>
        </w:rPr>
        <w:t>最小进气压力，2bar、最大进气压力，0</w:t>
      </w:r>
      <w:r>
        <w:rPr>
          <w:color w:val="auto"/>
          <w:highlight w:val="none"/>
        </w:rPr>
        <w:t>.35</w:t>
      </w:r>
      <w:r>
        <w:rPr>
          <w:rFonts w:hint="eastAsia"/>
          <w:color w:val="auto"/>
          <w:highlight w:val="none"/>
        </w:rPr>
        <w:t>×</w:t>
      </w:r>
      <w:r>
        <w:rPr>
          <w:color w:val="auto"/>
          <w:highlight w:val="none"/>
        </w:rPr>
        <w:t>PL、</w:t>
      </w:r>
      <w:r>
        <w:rPr>
          <w:rFonts w:hint="eastAsia"/>
          <w:color w:val="auto"/>
          <w:highlight w:val="none"/>
        </w:rPr>
        <w:t>单循环排量，7</w:t>
      </w:r>
      <w:r>
        <w:rPr>
          <w:color w:val="auto"/>
          <w:highlight w:val="none"/>
        </w:rPr>
        <w:t>634</w:t>
      </w:r>
      <w:r>
        <w:rPr>
          <w:rFonts w:hint="eastAsia"/>
          <w:color w:val="auto"/>
          <w:highlight w:val="none"/>
        </w:rPr>
        <w:t>m</w:t>
      </w:r>
      <w:r>
        <w:rPr>
          <w:color w:val="auto"/>
          <w:highlight w:val="none"/>
        </w:rPr>
        <w:t>L、</w:t>
      </w:r>
      <w:r>
        <w:rPr>
          <w:rFonts w:hint="eastAsia"/>
          <w:color w:val="auto"/>
          <w:highlight w:val="none"/>
        </w:rPr>
        <w:t>最大循环次数，1</w:t>
      </w:r>
      <w:r>
        <w:rPr>
          <w:color w:val="auto"/>
          <w:highlight w:val="none"/>
        </w:rPr>
        <w:t>5/</w:t>
      </w:r>
      <w:r>
        <w:rPr>
          <w:rFonts w:hint="eastAsia"/>
          <w:color w:val="auto"/>
          <w:highlight w:val="none"/>
        </w:rPr>
        <w:t>min；</w:t>
      </w:r>
    </w:p>
    <w:p w14:paraId="0B392CDE">
      <w:pPr>
        <w:spacing w:line="360" w:lineRule="auto"/>
        <w:ind w:left="210" w:hanging="210" w:hangingChars="100"/>
        <w:rPr>
          <w:color w:val="auto"/>
          <w:szCs w:val="21"/>
          <w:highlight w:val="none"/>
        </w:rPr>
      </w:pPr>
      <w:bookmarkStart w:id="14" w:name="OLE_LINK28"/>
      <w:r>
        <w:rPr>
          <w:color w:val="auto"/>
          <w:szCs w:val="21"/>
          <w:highlight w:val="none"/>
        </w:rPr>
        <w:t>2.3.1.</w:t>
      </w:r>
      <w:bookmarkEnd w:id="14"/>
      <w:r>
        <w:rPr>
          <w:rFonts w:hint="eastAsia"/>
          <w:color w:val="auto"/>
          <w:szCs w:val="21"/>
          <w:highlight w:val="none"/>
        </w:rPr>
        <w:t>4</w:t>
      </w:r>
      <w:r>
        <w:rPr>
          <w:color w:val="auto"/>
          <w:szCs w:val="21"/>
          <w:highlight w:val="none"/>
        </w:rPr>
        <w:t>在安装调试运行期间，负责对操作人员进行操作培训、维修培训、设备保养培训，以便工作人员能够正常的使用、维修保养设备。培训内容包括：硬件系统及电器控制系统的工作原理；设备操作步骤、运行、仪表操作、中断及紧急停机步骤；系统维护：增压系统常见问题解决方法及维护，安全控制及保护设备现场仪表功能；控制面板操作：主要部件介绍，控制方式及保护仪表；技术协议或合同中要求的其它培训要求。</w:t>
      </w:r>
    </w:p>
    <w:p w14:paraId="5E66456F">
      <w:pPr>
        <w:spacing w:line="360" w:lineRule="auto"/>
        <w:rPr>
          <w:b/>
          <w:bCs/>
          <w:color w:val="auto"/>
          <w:szCs w:val="21"/>
          <w:highlight w:val="none"/>
        </w:rPr>
      </w:pPr>
      <w:r>
        <w:rPr>
          <w:b/>
          <w:bCs/>
          <w:color w:val="auto"/>
          <w:szCs w:val="21"/>
          <w:highlight w:val="none"/>
        </w:rPr>
        <w:t>2.3.2</w:t>
      </w:r>
      <w:bookmarkEnd w:id="6"/>
      <w:r>
        <w:rPr>
          <w:b/>
          <w:bCs/>
          <w:color w:val="auto"/>
          <w:szCs w:val="21"/>
          <w:highlight w:val="none"/>
        </w:rPr>
        <w:t>数据采集系统</w:t>
      </w:r>
    </w:p>
    <w:p w14:paraId="684A769B">
      <w:pPr>
        <w:spacing w:line="360" w:lineRule="auto"/>
        <w:rPr>
          <w:bCs/>
          <w:color w:val="auto"/>
          <w:szCs w:val="21"/>
          <w:highlight w:val="none"/>
        </w:rPr>
      </w:pPr>
      <w:bookmarkStart w:id="15" w:name="_Toc93589197"/>
      <w:bookmarkStart w:id="16" w:name="_Toc61535553"/>
      <w:r>
        <w:rPr>
          <w:bCs/>
          <w:color w:val="auto"/>
          <w:szCs w:val="21"/>
          <w:highlight w:val="none"/>
        </w:rPr>
        <w:t>2.3.2.1功能性要求</w:t>
      </w:r>
      <w:bookmarkEnd w:id="15"/>
      <w:bookmarkEnd w:id="16"/>
    </w:p>
    <w:p w14:paraId="392F7295">
      <w:pPr>
        <w:spacing w:line="360" w:lineRule="auto"/>
        <w:ind w:firstLine="210" w:firstLineChars="100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1）数据采集功能：采集温度、压力、气体成分等信号，采样速率1Hz，采样精度±0.1%；</w:t>
      </w:r>
    </w:p>
    <w:p w14:paraId="3FE87950">
      <w:pPr>
        <w:spacing w:line="360" w:lineRule="auto"/>
        <w:ind w:left="420" w:leftChars="100" w:hanging="210" w:hangingChars="100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2）采集检测内容：炉内温度（量程：0-1000℃），炉外温度（量程：0-300</w:t>
      </w:r>
      <w:r>
        <w:rPr>
          <w:rFonts w:hint="eastAsia"/>
          <w:color w:val="auto"/>
          <w:szCs w:val="21"/>
          <w:highlight w:val="none"/>
        </w:rPr>
        <w:t xml:space="preserve"> </w:t>
      </w:r>
      <w:r>
        <w:rPr>
          <w:color w:val="auto"/>
          <w:szCs w:val="21"/>
          <w:highlight w:val="none"/>
        </w:rPr>
        <w:t>℃），进气压力（0-</w:t>
      </w:r>
      <w:r>
        <w:rPr>
          <w:rFonts w:hint="eastAsia"/>
          <w:color w:val="auto"/>
          <w:szCs w:val="21"/>
          <w:highlight w:val="none"/>
        </w:rPr>
        <w:t xml:space="preserve">20 </w:t>
      </w:r>
      <w:r>
        <w:rPr>
          <w:color w:val="auto"/>
          <w:szCs w:val="21"/>
          <w:highlight w:val="none"/>
        </w:rPr>
        <w:t>Mpa），出气压力，炉内压力，进气流量（最大量程：1</w:t>
      </w:r>
      <w:r>
        <w:rPr>
          <w:rFonts w:hint="eastAsia"/>
          <w:color w:val="auto"/>
          <w:szCs w:val="21"/>
          <w:highlight w:val="none"/>
        </w:rPr>
        <w:t>0</w:t>
      </w:r>
      <w:r>
        <w:rPr>
          <w:color w:val="auto"/>
          <w:szCs w:val="21"/>
          <w:highlight w:val="none"/>
        </w:rPr>
        <w:t xml:space="preserve">00L/min），氧含量，水含量，碳氢含量； </w:t>
      </w:r>
    </w:p>
    <w:p w14:paraId="19458EED">
      <w:pPr>
        <w:spacing w:line="360" w:lineRule="auto"/>
        <w:ind w:left="315" w:leftChars="100" w:hanging="105" w:hangingChars="50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3）通道可自由配置功能：所有信号通道可以自由配置，例如：现在要求热电偶通道为60个，实际使用时可能为n个（0≤n≤60），要求程序提供界面，在60个热电偶中自由选取n个进行数据采集和储存以及数据发布，其余未选择的传感器，应当不予以显示（炉内50个热电偶，炉壁10个热电偶）。</w:t>
      </w:r>
    </w:p>
    <w:p w14:paraId="09B1BD29">
      <w:pPr>
        <w:spacing w:line="360" w:lineRule="auto"/>
        <w:ind w:left="420" w:leftChars="100" w:hanging="210" w:hangingChars="100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4)铠装N型热电偶参数， N分度、0～1000℃，</w:t>
      </w:r>
      <w:r>
        <w:rPr>
          <w:color w:val="auto"/>
          <w:szCs w:val="21"/>
          <w:highlight w:val="none"/>
        </w:rPr>
        <w:fldChar w:fldCharType="begin"/>
      </w:r>
      <w:r>
        <w:rPr>
          <w:color w:val="auto"/>
          <w:szCs w:val="21"/>
          <w:highlight w:val="none"/>
        </w:rPr>
        <w:instrText xml:space="preserve"> = 1 \* ROMAN </w:instrText>
      </w:r>
      <w:r>
        <w:rPr>
          <w:color w:val="auto"/>
          <w:szCs w:val="21"/>
          <w:highlight w:val="none"/>
        </w:rPr>
        <w:fldChar w:fldCharType="separate"/>
      </w:r>
      <w:r>
        <w:rPr>
          <w:color w:val="auto"/>
          <w:szCs w:val="21"/>
          <w:highlight w:val="none"/>
        </w:rPr>
        <w:t>I</w:t>
      </w:r>
      <w:r>
        <w:rPr>
          <w:color w:val="auto"/>
          <w:szCs w:val="21"/>
          <w:highlight w:val="none"/>
        </w:rPr>
        <w:fldChar w:fldCharType="end"/>
      </w:r>
      <w:r>
        <w:rPr>
          <w:color w:val="auto"/>
          <w:szCs w:val="21"/>
          <w:highlight w:val="none"/>
        </w:rPr>
        <w:t>级，保护管材料GH3039，φ2mm,检定点：830℃、878℃、892℃；</w:t>
      </w:r>
    </w:p>
    <w:p w14:paraId="5995F3FF">
      <w:pPr>
        <w:spacing w:line="360" w:lineRule="auto"/>
        <w:ind w:firstLine="210" w:firstLineChars="100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5)数据存储功能：本地存储数据，存储文件为TXT或EXCEL文件，单次实验的所有数据保存在一个文件中，存储文件名称可通过软件自定义。</w:t>
      </w:r>
    </w:p>
    <w:p w14:paraId="25071066">
      <w:pPr>
        <w:spacing w:line="360" w:lineRule="auto"/>
        <w:ind w:firstLine="210" w:firstLineChars="100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6)数据可视化要求：数据可以通过Chrome浏览器对历史数据进行查看，提供实时WEB数据曲线显示和历史WEB曲线显示，显示时间区间跨度可以自由配置。</w:t>
      </w:r>
    </w:p>
    <w:p w14:paraId="76A52259">
      <w:pPr>
        <w:spacing w:line="360" w:lineRule="auto"/>
        <w:ind w:firstLine="210" w:firstLineChars="100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7）数据导出要求：可以通过chrome浏览器，打开数据WEB界面，将浏览数据导出，导出数据时间区间可以自由定义。</w:t>
      </w:r>
    </w:p>
    <w:p w14:paraId="2057718F">
      <w:pPr>
        <w:spacing w:line="360" w:lineRule="auto"/>
        <w:ind w:firstLine="210" w:firstLineChars="100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8）数据发布要求：要求数据可以发布到网络中，可以通过Control System Studio进行数据获取。</w:t>
      </w:r>
    </w:p>
    <w:p w14:paraId="38EBF169">
      <w:pPr>
        <w:spacing w:line="360" w:lineRule="auto"/>
        <w:ind w:firstLine="210" w:firstLineChars="100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9）报警功能：系统应当具有设置参数报警功能，如果参数到达设定的报警阈值，系统应当发出报警信号，并且记录报警时间、信号名称和报警严重度。其中报警参数应当有参数配置界面，由用户自由配置，参数界面包含信号名称、底报警预警值、高报警预警值。当报警信号消失后，报警信号需要持续存在，直到用户确认报警信息后，方可消除报警信号。</w:t>
      </w:r>
    </w:p>
    <w:p w14:paraId="402D5063">
      <w:pPr>
        <w:spacing w:line="360" w:lineRule="auto"/>
        <w:ind w:firstLine="105" w:firstLineChars="50"/>
        <w:rPr>
          <w:bCs/>
          <w:color w:val="auto"/>
          <w:szCs w:val="21"/>
          <w:highlight w:val="none"/>
        </w:rPr>
      </w:pPr>
      <w:bookmarkStart w:id="17" w:name="_Toc61535554"/>
      <w:bookmarkStart w:id="18" w:name="_Toc93589198"/>
      <w:r>
        <w:rPr>
          <w:bCs/>
          <w:color w:val="auto"/>
          <w:szCs w:val="21"/>
          <w:highlight w:val="none"/>
        </w:rPr>
        <w:t>2.3.2.2非功能性要求</w:t>
      </w:r>
      <w:bookmarkEnd w:id="17"/>
      <w:bookmarkEnd w:id="18"/>
    </w:p>
    <w:p w14:paraId="385B25A6">
      <w:pPr>
        <w:spacing w:line="360" w:lineRule="auto"/>
        <w:ind w:firstLine="210" w:firstLineChars="100"/>
        <w:rPr>
          <w:bCs/>
          <w:color w:val="auto"/>
          <w:szCs w:val="21"/>
          <w:highlight w:val="none"/>
        </w:rPr>
      </w:pPr>
      <w:r>
        <w:rPr>
          <w:bCs/>
          <w:color w:val="auto"/>
          <w:szCs w:val="21"/>
          <w:highlight w:val="none"/>
        </w:rPr>
        <w:t>1)稳定运行要求：由于系统运行在工业热处理炉旁，现场温度较高，同时有大功率变频器工作，要做到系统稳定运行，且采集信号不受高温和变频器运行干扰影响。单次热处理时间需要达到15天左右，所以要求系统稳定运行时间不低于30天。</w:t>
      </w:r>
    </w:p>
    <w:p w14:paraId="54E2B1C8">
      <w:pPr>
        <w:spacing w:line="360" w:lineRule="auto"/>
        <w:ind w:firstLine="210" w:firstLineChars="100"/>
        <w:rPr>
          <w:bCs/>
          <w:color w:val="auto"/>
          <w:szCs w:val="21"/>
          <w:highlight w:val="none"/>
        </w:rPr>
      </w:pPr>
      <w:r>
        <w:rPr>
          <w:bCs/>
          <w:color w:val="auto"/>
          <w:szCs w:val="21"/>
          <w:highlight w:val="none"/>
        </w:rPr>
        <w:t>2)安全运行要求：系统运行安全可靠，运行期间不可对其他系统造成干扰或宕机。</w:t>
      </w:r>
    </w:p>
    <w:p w14:paraId="2476FB64">
      <w:pPr>
        <w:spacing w:line="360" w:lineRule="auto"/>
        <w:ind w:firstLine="210" w:firstLineChars="100"/>
        <w:rPr>
          <w:bCs/>
          <w:color w:val="auto"/>
          <w:szCs w:val="21"/>
          <w:highlight w:val="none"/>
        </w:rPr>
      </w:pPr>
      <w:r>
        <w:rPr>
          <w:bCs/>
          <w:color w:val="auto"/>
          <w:szCs w:val="21"/>
          <w:highlight w:val="none"/>
        </w:rPr>
        <w:t>3)界面要求：要求系统界面简洁美观，系统操作方便，需要直观看上去即可知道系统运行状态和系统参数状态。</w:t>
      </w:r>
    </w:p>
    <w:p w14:paraId="3729C1B0">
      <w:pPr>
        <w:spacing w:line="360" w:lineRule="auto"/>
        <w:ind w:firstLine="210" w:firstLineChars="100"/>
        <w:rPr>
          <w:bCs/>
          <w:color w:val="auto"/>
          <w:szCs w:val="21"/>
          <w:highlight w:val="none"/>
        </w:rPr>
      </w:pPr>
      <w:r>
        <w:rPr>
          <w:bCs/>
          <w:color w:val="auto"/>
          <w:szCs w:val="21"/>
          <w:highlight w:val="none"/>
        </w:rPr>
        <w:t>4)系统搭建、培训及维护要求：完成软件编写后，需要到达现场完成软件配置安装和现场调试工作，并且提供软件培训服务。后期系统出现问题需要及时到场进行维护工作。</w:t>
      </w:r>
    </w:p>
    <w:p w14:paraId="697DA9FD">
      <w:pPr>
        <w:spacing w:line="360" w:lineRule="auto"/>
        <w:ind w:firstLine="210" w:firstLineChars="100"/>
        <w:rPr>
          <w:bCs/>
          <w:color w:val="auto"/>
          <w:szCs w:val="21"/>
          <w:highlight w:val="none"/>
        </w:rPr>
      </w:pPr>
      <w:r>
        <w:rPr>
          <w:bCs/>
          <w:color w:val="auto"/>
          <w:szCs w:val="21"/>
          <w:highlight w:val="none"/>
        </w:rPr>
        <w:t>5)持续服务需求：系统设计期间需要与用户交流沟通，如客户有新需求，应当及时进行协商，并尽量加入新需求。</w:t>
      </w:r>
    </w:p>
    <w:p w14:paraId="61E4817F">
      <w:pPr>
        <w:spacing w:line="360" w:lineRule="auto"/>
        <w:rPr>
          <w:color w:val="auto"/>
          <w:szCs w:val="21"/>
          <w:highlight w:val="none"/>
        </w:rPr>
      </w:pPr>
      <w:bookmarkStart w:id="19" w:name="OLE_LINK19"/>
      <w:r>
        <w:rPr>
          <w:b/>
          <w:bCs/>
          <w:color w:val="auto"/>
          <w:szCs w:val="21"/>
          <w:highlight w:val="none"/>
        </w:rPr>
        <w:t>2.3.3</w:t>
      </w:r>
      <w:bookmarkEnd w:id="19"/>
      <w:r>
        <w:rPr>
          <w:b/>
          <w:bCs/>
          <w:color w:val="auto"/>
          <w:szCs w:val="21"/>
          <w:highlight w:val="none"/>
        </w:rPr>
        <w:t>气路改造</w:t>
      </w:r>
      <w:r>
        <w:rPr>
          <w:b/>
          <w:color w:val="auto"/>
          <w:szCs w:val="21"/>
          <w:highlight w:val="none"/>
        </w:rPr>
        <w:t>技术要求</w:t>
      </w:r>
      <w:r>
        <w:rPr>
          <w:color w:val="auto"/>
          <w:szCs w:val="21"/>
          <w:highlight w:val="none"/>
        </w:rPr>
        <w:t>:</w:t>
      </w:r>
    </w:p>
    <w:p w14:paraId="45C3DD93">
      <w:pPr>
        <w:spacing w:line="360" w:lineRule="auto"/>
        <w:ind w:firstLine="210" w:firstLineChars="100"/>
        <w:rPr>
          <w:color w:val="auto"/>
          <w:szCs w:val="21"/>
          <w:highlight w:val="none"/>
        </w:rPr>
      </w:pPr>
      <w:r>
        <w:rPr>
          <w:bCs/>
          <w:color w:val="auto"/>
          <w:szCs w:val="21"/>
          <w:highlight w:val="none"/>
        </w:rPr>
        <w:t>2.3.3</w:t>
      </w:r>
      <w:r>
        <w:rPr>
          <w:rFonts w:hint="eastAsia"/>
          <w:bCs/>
          <w:color w:val="auto"/>
          <w:szCs w:val="21"/>
          <w:highlight w:val="none"/>
        </w:rPr>
        <w:t>.</w:t>
      </w:r>
      <w:r>
        <w:rPr>
          <w:bCs/>
          <w:color w:val="auto"/>
          <w:szCs w:val="21"/>
          <w:highlight w:val="none"/>
        </w:rPr>
        <w:t>1</w:t>
      </w:r>
      <w:r>
        <w:rPr>
          <w:color w:val="auto"/>
          <w:szCs w:val="21"/>
          <w:highlight w:val="none"/>
        </w:rPr>
        <w:t xml:space="preserve">气路系统用于输送高纯惰性气体（高纯氩气、氦气）； </w:t>
      </w:r>
    </w:p>
    <w:p w14:paraId="0B3798FE">
      <w:pPr>
        <w:spacing w:line="360" w:lineRule="auto"/>
        <w:ind w:firstLine="210" w:firstLineChars="100"/>
        <w:rPr>
          <w:color w:val="auto"/>
          <w:szCs w:val="21"/>
          <w:highlight w:val="none"/>
        </w:rPr>
      </w:pPr>
      <w:r>
        <w:rPr>
          <w:bCs/>
          <w:color w:val="auto"/>
          <w:szCs w:val="21"/>
          <w:highlight w:val="none"/>
        </w:rPr>
        <w:t>2.3.3.2</w:t>
      </w:r>
      <w:r>
        <w:rPr>
          <w:color w:val="auto"/>
          <w:szCs w:val="21"/>
          <w:highlight w:val="none"/>
        </w:rPr>
        <w:t xml:space="preserve">高温段管材必须采用耐高温奥氏体不锈钢，其长期使用温度可达950℃以上； </w:t>
      </w:r>
    </w:p>
    <w:p w14:paraId="1B3C5E0A">
      <w:pPr>
        <w:spacing w:line="360" w:lineRule="auto"/>
        <w:ind w:left="420" w:leftChars="100" w:hanging="210" w:hangingChars="100"/>
        <w:rPr>
          <w:color w:val="auto"/>
          <w:szCs w:val="21"/>
          <w:highlight w:val="none"/>
        </w:rPr>
      </w:pPr>
      <w:r>
        <w:rPr>
          <w:bCs/>
          <w:color w:val="auto"/>
          <w:szCs w:val="21"/>
          <w:highlight w:val="none"/>
        </w:rPr>
        <w:t>2.3.3.3</w:t>
      </w:r>
      <w:r>
        <w:rPr>
          <w:color w:val="auto"/>
          <w:szCs w:val="21"/>
          <w:highlight w:val="none"/>
        </w:rPr>
        <w:t xml:space="preserve">高温区阀门应选用全金属密封高温截止阀或波纹管密封阀，适用温度≥950℃。压力表、流量计、热电偶套管等仪表接口材料须与主管道一致，采用焊接式或高温螺纹连接。 </w:t>
      </w:r>
    </w:p>
    <w:p w14:paraId="47979EED">
      <w:pPr>
        <w:spacing w:line="360" w:lineRule="auto"/>
        <w:ind w:left="525" w:leftChars="100" w:hanging="315" w:hangingChars="150"/>
        <w:rPr>
          <w:bCs/>
          <w:color w:val="auto"/>
          <w:szCs w:val="21"/>
          <w:highlight w:val="none"/>
        </w:rPr>
      </w:pPr>
      <w:r>
        <w:rPr>
          <w:bCs/>
          <w:color w:val="auto"/>
          <w:szCs w:val="21"/>
          <w:highlight w:val="none"/>
        </w:rPr>
        <w:t>2.3.3.4管道施工要求符合GB 50646-2011  《特种气体系统工程技术规范》；GB 50235-2010  《工业金属管道工程施工规范》</w:t>
      </w:r>
    </w:p>
    <w:p w14:paraId="6A963983">
      <w:pPr>
        <w:spacing w:line="360" w:lineRule="auto"/>
        <w:ind w:left="315" w:leftChars="150"/>
        <w:rPr>
          <w:bCs/>
          <w:color w:val="auto"/>
          <w:szCs w:val="21"/>
          <w:highlight w:val="none"/>
        </w:rPr>
      </w:pPr>
      <w:bookmarkStart w:id="20" w:name="OLE_LINK20"/>
      <w:r>
        <w:rPr>
          <w:bCs/>
          <w:color w:val="auto"/>
          <w:szCs w:val="21"/>
          <w:highlight w:val="none"/>
        </w:rPr>
        <w:t>2.3.3.5</w:t>
      </w:r>
      <w:bookmarkEnd w:id="20"/>
      <w:r>
        <w:rPr>
          <w:bCs/>
          <w:color w:val="auto"/>
          <w:szCs w:val="21"/>
          <w:highlight w:val="none"/>
        </w:rPr>
        <w:t>所有减压阀、开关阀门及接头材质均为SS316L。在管道的行进路线中，每隔1-1.5米将设置一组管夹，管道固定件（管夹）均采用耐高温的金属材料，坚固，轻巧，耐用</w:t>
      </w:r>
    </w:p>
    <w:p w14:paraId="09FDC246">
      <w:pPr>
        <w:spacing w:line="360" w:lineRule="auto"/>
        <w:ind w:left="315" w:leftChars="150"/>
        <w:rPr>
          <w:bCs/>
          <w:color w:val="auto"/>
          <w:szCs w:val="21"/>
          <w:highlight w:val="none"/>
        </w:rPr>
      </w:pPr>
      <w:r>
        <w:rPr>
          <w:bCs/>
          <w:color w:val="auto"/>
          <w:szCs w:val="21"/>
          <w:highlight w:val="none"/>
        </w:rPr>
        <w:t>2.3.3.6所有阀门和仪器与管道连接，均为金属双卡套或者螺纹连接，以便后期维护。</w:t>
      </w:r>
    </w:p>
    <w:p w14:paraId="207783D4">
      <w:pPr>
        <w:spacing w:line="360" w:lineRule="auto"/>
        <w:ind w:left="315" w:leftChars="150"/>
        <w:rPr>
          <w:bCs/>
          <w:color w:val="auto"/>
          <w:szCs w:val="21"/>
          <w:highlight w:val="none"/>
        </w:rPr>
      </w:pPr>
      <w:r>
        <w:rPr>
          <w:bCs/>
          <w:color w:val="auto"/>
          <w:szCs w:val="21"/>
          <w:highlight w:val="none"/>
        </w:rPr>
        <w:t>2.3.3.7压力变送器，精度1%；</w:t>
      </w:r>
    </w:p>
    <w:p w14:paraId="4018F8C6">
      <w:pPr>
        <w:spacing w:line="360" w:lineRule="auto"/>
        <w:ind w:left="315" w:leftChars="150"/>
        <w:rPr>
          <w:bCs/>
          <w:color w:val="auto"/>
          <w:szCs w:val="21"/>
          <w:highlight w:val="none"/>
        </w:rPr>
      </w:pPr>
      <w:r>
        <w:rPr>
          <w:bCs/>
          <w:color w:val="auto"/>
          <w:szCs w:val="21"/>
          <w:highlight w:val="none"/>
        </w:rPr>
        <w:t>2.3.3.8管道、减压阀、针阀等符合设计参数要求。</w:t>
      </w:r>
    </w:p>
    <w:p w14:paraId="280D8064">
      <w:pPr>
        <w:spacing w:line="360" w:lineRule="auto"/>
        <w:rPr>
          <w:b/>
          <w:color w:val="auto"/>
          <w:szCs w:val="21"/>
          <w:highlight w:val="none"/>
        </w:rPr>
      </w:pPr>
      <w:bookmarkStart w:id="21" w:name="OLE_LINK24"/>
      <w:r>
        <w:rPr>
          <w:b/>
          <w:color w:val="auto"/>
          <w:szCs w:val="21"/>
          <w:highlight w:val="none"/>
        </w:rPr>
        <w:t>2.3.4</w:t>
      </w:r>
      <w:bookmarkEnd w:id="21"/>
      <w:r>
        <w:rPr>
          <w:b/>
          <w:color w:val="auto"/>
          <w:szCs w:val="21"/>
          <w:highlight w:val="none"/>
        </w:rPr>
        <w:t>电路改造技术要求:</w:t>
      </w:r>
    </w:p>
    <w:p w14:paraId="2AF8EDAB">
      <w:pPr>
        <w:spacing w:line="360" w:lineRule="auto"/>
        <w:ind w:firstLine="210" w:firstLineChars="100"/>
        <w:rPr>
          <w:color w:val="auto"/>
          <w:szCs w:val="21"/>
          <w:highlight w:val="none"/>
        </w:rPr>
      </w:pPr>
      <w:bookmarkStart w:id="22" w:name="OLE_LINK26"/>
      <w:bookmarkStart w:id="23" w:name="OLE_LINK25"/>
      <w:r>
        <w:rPr>
          <w:color w:val="auto"/>
          <w:szCs w:val="21"/>
          <w:highlight w:val="none"/>
        </w:rPr>
        <w:t>2.3.4.1</w:t>
      </w:r>
      <w:bookmarkEnd w:id="22"/>
      <w:bookmarkEnd w:id="23"/>
      <w:r>
        <w:rPr>
          <w:color w:val="auto"/>
          <w:szCs w:val="21"/>
          <w:highlight w:val="none"/>
        </w:rPr>
        <w:t xml:space="preserve">系统总功率580kw（包含热处理炉、水冷机、空压机、混气增压系统等）； </w:t>
      </w:r>
    </w:p>
    <w:p w14:paraId="74E0A76C">
      <w:pPr>
        <w:spacing w:line="360" w:lineRule="auto"/>
        <w:ind w:firstLine="210" w:firstLineChars="100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2.3.4.2本项目实验室强电改造严格执行《低压配电设计规范》GB50054、《供配电系统设计规范》GB50052等现行国家规范。</w:t>
      </w:r>
    </w:p>
    <w:p w14:paraId="59A3526B">
      <w:pPr>
        <w:spacing w:line="360" w:lineRule="auto"/>
        <w:ind w:firstLine="210" w:firstLineChars="100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2.3.4.3</w:t>
      </w:r>
      <w:bookmarkStart w:id="24" w:name="OLE_LINK32"/>
      <w:r>
        <w:rPr>
          <w:color w:val="auto"/>
          <w:szCs w:val="21"/>
          <w:highlight w:val="none"/>
        </w:rPr>
        <w:t>配电系统统一采用TN-S三相五线制，N线、PE线全程严格分离，严禁混接、共接。</w:t>
      </w:r>
    </w:p>
    <w:p w14:paraId="4B00EE5D">
      <w:pPr>
        <w:spacing w:line="360" w:lineRule="auto"/>
        <w:ind w:firstLine="210" w:firstLineChars="100"/>
        <w:rPr>
          <w:color w:val="auto"/>
          <w:szCs w:val="21"/>
          <w:highlight w:val="none"/>
        </w:rPr>
      </w:pPr>
      <w:bookmarkStart w:id="25" w:name="heading_3"/>
      <w:r>
        <w:rPr>
          <w:color w:val="auto"/>
          <w:szCs w:val="21"/>
          <w:highlight w:val="none"/>
        </w:rPr>
        <w:t>2.3.4.4线缆、桥架、管路要求</w:t>
      </w:r>
      <w:bookmarkEnd w:id="25"/>
      <w:r>
        <w:rPr>
          <w:color w:val="auto"/>
          <w:szCs w:val="21"/>
          <w:highlight w:val="none"/>
        </w:rPr>
        <w:t>，强弱电严格分槽、分管敷设，平行间距≥300mm，交叉垂直跨越隔离，禁止同管同槽走线；线缆全程无中间接头，所有接线仅允许在配电箱、专用接线盒内完成。</w:t>
      </w:r>
    </w:p>
    <w:p w14:paraId="684586BF">
      <w:pPr>
        <w:spacing w:line="360" w:lineRule="auto"/>
        <w:ind w:firstLine="210" w:firstLineChars="100"/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2.3.4.5实验室配电箱采用金属箱体，防护等级≥IP54，大功率动力回路具备过载、短路、缺相保护功能。</w:t>
      </w:r>
    </w:p>
    <w:p w14:paraId="78D30C00">
      <w:pPr>
        <w:spacing w:line="360" w:lineRule="auto"/>
        <w:ind w:firstLine="210" w:firstLineChars="100"/>
        <w:rPr>
          <w:color w:val="auto"/>
          <w:szCs w:val="21"/>
          <w:highlight w:val="none"/>
        </w:rPr>
      </w:pPr>
      <w:bookmarkStart w:id="26" w:name="OLE_LINK27"/>
      <w:r>
        <w:rPr>
          <w:color w:val="auto"/>
          <w:szCs w:val="21"/>
          <w:highlight w:val="none"/>
        </w:rPr>
        <w:t>2.3.4</w:t>
      </w:r>
      <w:bookmarkEnd w:id="26"/>
      <w:r>
        <w:rPr>
          <w:color w:val="auto"/>
          <w:szCs w:val="21"/>
          <w:highlight w:val="none"/>
        </w:rPr>
        <w:t>.6所有回路、插座、配电箱</w:t>
      </w:r>
      <w:bookmarkEnd w:id="24"/>
      <w:r>
        <w:rPr>
          <w:color w:val="auto"/>
          <w:szCs w:val="21"/>
          <w:highlight w:val="none"/>
        </w:rPr>
        <w:t>统一编号标识，箱内张贴配电系统图及回路说明。</w:t>
      </w:r>
    </w:p>
    <w:p w14:paraId="7FAE110F">
      <w:pPr>
        <w:spacing w:line="360" w:lineRule="auto"/>
        <w:rPr>
          <w:b/>
          <w:bCs/>
          <w:color w:val="auto"/>
          <w:szCs w:val="21"/>
          <w:highlight w:val="none"/>
        </w:rPr>
      </w:pPr>
      <w:r>
        <w:rPr>
          <w:b/>
          <w:color w:val="auto"/>
          <w:szCs w:val="21"/>
          <w:highlight w:val="none"/>
        </w:rPr>
        <w:t>2.3.5</w:t>
      </w:r>
      <w:r>
        <w:rPr>
          <w:b/>
          <w:bCs/>
          <w:color w:val="auto"/>
          <w:szCs w:val="21"/>
          <w:highlight w:val="none"/>
        </w:rPr>
        <w:t>循环冷水机、空压机</w:t>
      </w:r>
    </w:p>
    <w:p w14:paraId="4C155B39">
      <w:pPr>
        <w:spacing w:line="360" w:lineRule="auto"/>
        <w:ind w:left="315" w:leftChars="150"/>
        <w:rPr>
          <w:bCs/>
          <w:color w:val="auto"/>
          <w:szCs w:val="21"/>
          <w:highlight w:val="none"/>
        </w:rPr>
      </w:pPr>
      <w:r>
        <w:rPr>
          <w:bCs/>
          <w:color w:val="auto"/>
          <w:szCs w:val="21"/>
          <w:highlight w:val="none"/>
        </w:rPr>
        <w:t>循环冷水机：冷水机制冷量＞10KW，冷却水流量＞2m³/h</w:t>
      </w:r>
    </w:p>
    <w:p w14:paraId="385C47FE">
      <w:pPr>
        <w:spacing w:line="360" w:lineRule="auto"/>
        <w:ind w:left="315" w:leftChars="150"/>
        <w:rPr>
          <w:bCs/>
          <w:color w:val="auto"/>
          <w:szCs w:val="21"/>
          <w:highlight w:val="none"/>
        </w:rPr>
      </w:pPr>
      <w:r>
        <w:rPr>
          <w:bCs/>
          <w:color w:val="auto"/>
          <w:szCs w:val="21"/>
          <w:highlight w:val="none"/>
        </w:rPr>
        <w:t>流量：10m³/h；5.出水温度＜15 ℃，水泵扬程＞20m;</w:t>
      </w:r>
    </w:p>
    <w:p w14:paraId="40BF7A52">
      <w:pPr>
        <w:spacing w:line="360" w:lineRule="auto"/>
        <w:ind w:left="315" w:leftChars="150"/>
        <w:rPr>
          <w:bCs/>
          <w:color w:val="auto"/>
          <w:szCs w:val="21"/>
          <w:highlight w:val="none"/>
        </w:rPr>
      </w:pPr>
      <w:r>
        <w:rPr>
          <w:bCs/>
          <w:color w:val="auto"/>
          <w:szCs w:val="21"/>
          <w:highlight w:val="none"/>
        </w:rPr>
        <w:t>水压:0.15-0.3MPa；</w:t>
      </w:r>
    </w:p>
    <w:p w14:paraId="7DCAABDD">
      <w:pPr>
        <w:spacing w:line="360" w:lineRule="auto"/>
        <w:ind w:left="315" w:leftChars="150"/>
        <w:rPr>
          <w:bCs/>
          <w:color w:val="auto"/>
          <w:szCs w:val="21"/>
          <w:highlight w:val="none"/>
        </w:rPr>
      </w:pPr>
      <w:r>
        <w:rPr>
          <w:bCs/>
          <w:color w:val="auto"/>
          <w:szCs w:val="21"/>
          <w:highlight w:val="none"/>
        </w:rPr>
        <w:t>进水水温:≤30℃且＞10℃；</w:t>
      </w:r>
    </w:p>
    <w:p w14:paraId="1A071C17">
      <w:pPr>
        <w:spacing w:line="360" w:lineRule="auto"/>
        <w:ind w:firstLine="315" w:firstLineChars="150"/>
        <w:rPr>
          <w:bCs/>
          <w:color w:val="auto"/>
          <w:szCs w:val="21"/>
          <w:highlight w:val="none"/>
        </w:rPr>
      </w:pPr>
      <w:r>
        <w:rPr>
          <w:bCs/>
          <w:color w:val="auto"/>
          <w:szCs w:val="21"/>
          <w:highlight w:val="none"/>
        </w:rPr>
        <w:t>应急进水DN25，流量3m³/h</w:t>
      </w:r>
    </w:p>
    <w:p w14:paraId="70D14D3B">
      <w:pPr>
        <w:spacing w:line="360" w:lineRule="auto"/>
        <w:ind w:firstLine="315" w:firstLineChars="150"/>
        <w:rPr>
          <w:bCs/>
          <w:color w:val="auto"/>
          <w:szCs w:val="21"/>
          <w:highlight w:val="none"/>
        </w:rPr>
      </w:pPr>
      <w:r>
        <w:rPr>
          <w:bCs/>
          <w:color w:val="auto"/>
          <w:szCs w:val="21"/>
          <w:highlight w:val="none"/>
        </w:rPr>
        <w:t>空压机：额定排气压力Mpa＞0.8；额定容积流量m³/min ＞1.1；压缩级数：单级；冷却方式：风冷.</w:t>
      </w:r>
    </w:p>
    <w:p w14:paraId="57B459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9ECA64"/>
    <w:multiLevelType w:val="singleLevel"/>
    <w:tmpl w:val="F89ECA64"/>
    <w:lvl w:ilvl="0" w:tentative="0">
      <w:start w:val="2"/>
      <w:numFmt w:val="decimal"/>
      <w:suff w:val="nothing"/>
      <w:lvlText w:val="%1、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B57DD2"/>
    <w:rsid w:val="21FC4764"/>
    <w:rsid w:val="27AB4EA2"/>
    <w:rsid w:val="2FD933F6"/>
    <w:rsid w:val="33070121"/>
    <w:rsid w:val="63B5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2026-06-12T06:43:00Z</dcterms:created>
  <dc:creator>宋方方</dc:creator>
  <cp:lastModifiedBy>宋方方</cp:lastModifiedBy>
  <dcterms:modified xsi:type="dcterms:W3CDTF">2026-06-12T06:43:46Z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DC6B47D6721F4B64AA8AA97A2FB610D5_11</vt:lpwstr>
  </property>
  <property fmtid="{D5CDD505-2E9C-101B-9397-08002B2CF9AE}" pid="4" name="KSOTemplateDocerSaveRecord">
    <vt:lpwstr>eyJoZGlkIjoiY2ZjZDI4YmRkZDY3MGZmNjNjY2JiZTFlYmI4OWM0ZWEiLCJ1c2VySWQiOiIxNzYzODEyODI4In0=</vt:lpwstr>
  </property>
</Properties>
</file>